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Zelman Ivy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CARDINAL INFRASTRUCTURE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 SIX FORKS ROAD,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Cardinal Infrastructure Group Inc.</w:t>
              </w:r>
            </w:hyperlink>
            <w:r>
              <w:rPr/>
              <w:t xml:space="preserve"> [ </w:t>
            </w:r>
            <w:r>
              <w:rPr>
                <w:rFonts w:ascii="Times;serif" w:hAnsi="Times;serif"/>
                <w:color w:val="0000FF"/>
                <w:sz w:val="24"/>
                <w:shd w:fill="FFFFFF" w:val="clear"/>
              </w:rPr>
              <w:t>CDNL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20,244</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restricted stock units ("RSUs") granted on June 5, 2026. The RSUs vest on the earlier to occur of (1) the next annual meeting of the Company's stockholders following the date of grant (so long as such next annual meeting is at least 50 weeks after the immediately preceding year's annual meeting of stockholders) and (2) the one-year anniversary of the date of grant, provided that, in each case, the Reporting Person continues to serve as a director of the Company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Tiffany Gidley,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646" TargetMode="External"/><Relationship Id="rId5" Type="http://schemas.openxmlformats.org/officeDocument/2006/relationships/hyperlink" Target="http://www.sec.gov/cgi-bin/browse-edgar?action=getcompany&amp;CIK=0002079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3504</Characters>
  <CharactersWithSpaces>4097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