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2026</w:t>
      </w:r>
    </w:p>
    <w:p>
      <w:pPr>
        <w:spacing w:after="0" w:line="2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63"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w:t>
      </w:r>
    </w:p>
    <w:p>
      <w:pPr>
        <w:spacing w:after="0" w:line="38" w:lineRule="exact"/>
        <w:rPr>
          <w:rFonts w:ascii="MS PGothic" w:cs="MS PGothic" w:eastAsia="MS PGothic" w:hAnsi="MS PGothic"/>
          <w:sz w:val="16"/>
          <w:szCs w:val="16"/>
          <w:color w:val="auto"/>
          <w:highlight w:val="black"/>
        </w:rPr>
      </w:pPr>
    </w:p>
    <w:p>
      <w:pPr>
        <w:ind w:left="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FROMTO</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001-43004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643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Cardinal Infrastructure Group Inc.</w:t>
      </w:r>
    </w:p>
    <w:p>
      <w:pPr>
        <w:sectPr>
          <w:pgSz w:w="11900" w:h="16838" w:orient="portrait"/>
          <w:cols w:equalWidth="0" w:num="1">
            <w:col w:w="11240"/>
          </w:cols>
          <w:pgMar w:left="320" w:top="1181" w:right="339" w:bottom="1440" w:gutter="0" w:footer="0" w:header="0"/>
        </w:sectPr>
      </w:pPr>
    </w:p>
    <w:p>
      <w:pPr>
        <w:spacing w:after="0" w:line="4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70485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100 E. Six Forks Road, #300</w:t>
      </w:r>
    </w:p>
    <w:p>
      <w:pPr>
        <w:spacing w:after="0" w:line="23"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Raleigh, North Carolina</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39-3180206</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22"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27609</w:t>
      </w:r>
    </w:p>
    <w:p>
      <w:pPr>
        <w:spacing w:after="0" w:line="27" w:lineRule="exact"/>
        <w:rPr>
          <w:sz w:val="24"/>
          <w:szCs w:val="24"/>
          <w:color w:val="auto"/>
        </w:rPr>
      </w:pPr>
    </w:p>
    <w:p>
      <w:pPr>
        <w:sectPr>
          <w:pgSz w:w="11900" w:h="16838" w:orient="portrait"/>
          <w:cols w:equalWidth="0" w:num="2">
            <w:col w:w="7460" w:space="480"/>
            <w:col w:w="3300"/>
          </w:cols>
          <w:pgMar w:left="320" w:top="1181"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28"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(919) 324-1964</w:t>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-106680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80" w:type="dxa"/>
            <w:vAlign w:val="bottom"/>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0" w:type="dxa"/>
            <w:vAlign w:val="bottom"/>
          </w:tcPr>
          <w:p>
            <w:pPr>
              <w:spacing w:after="0"/>
              <w:rPr>
                <w:sz w:val="13"/>
                <w:szCs w:val="13"/>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40" w:type="dxa"/>
            <w:vAlign w:val="bottom"/>
          </w:tcPr>
          <w:p>
            <w:pPr>
              <w:spacing w:after="0"/>
              <w:rPr>
                <w:sz w:val="13"/>
                <w:szCs w:val="13"/>
                <w:color w:val="auto"/>
              </w:rPr>
            </w:pPr>
          </w:p>
        </w:tc>
        <w:tc>
          <w:tcPr>
            <w:tcW w:w="4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40" w:type="dxa"/>
            <w:vAlign w:val="bottom"/>
          </w:tcPr>
          <w:p>
            <w:pPr>
              <w:spacing w:after="0"/>
              <w:rPr>
                <w:sz w:val="15"/>
                <w:szCs w:val="15"/>
                <w:color w:val="auto"/>
              </w:rPr>
            </w:pPr>
          </w:p>
        </w:tc>
        <w:tc>
          <w:tcPr>
            <w:tcW w:w="4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480" w:type="dxa"/>
            <w:vAlign w:val="bottom"/>
          </w:tcPr>
          <w:p>
            <w:pPr>
              <w:spacing w:after="0"/>
              <w:rPr>
                <w:sz w:val="20"/>
                <w:szCs w:val="20"/>
                <w:color w:val="auto"/>
              </w:rPr>
            </w:pPr>
            <w:r>
              <w:rPr>
                <w:rFonts w:ascii="Times New Roman" w:cs="Times New Roman" w:eastAsia="Times New Roman" w:hAnsi="Times New Roman"/>
                <w:sz w:val="15"/>
                <w:szCs w:val="15"/>
                <w:color w:val="auto"/>
              </w:rPr>
              <w:t>Class A Common Stock, $0.0001 Par Value</w:t>
            </w:r>
          </w:p>
        </w:tc>
        <w:tc>
          <w:tcPr>
            <w:tcW w:w="14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CDNL</w:t>
            </w:r>
          </w:p>
        </w:tc>
        <w:tc>
          <w:tcPr>
            <w:tcW w:w="140" w:type="dxa"/>
            <w:vAlign w:val="bottom"/>
          </w:tcPr>
          <w:p>
            <w:pPr>
              <w:spacing w:after="0"/>
              <w:rPr>
                <w:sz w:val="16"/>
                <w:szCs w:val="16"/>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bl>
    <w:p>
      <w:pPr>
        <w:spacing w:after="0" w:line="203" w:lineRule="exact"/>
        <w:rPr>
          <w:sz w:val="24"/>
          <w:szCs w:val="24"/>
          <w:color w:val="auto"/>
        </w:rPr>
      </w:pPr>
    </w:p>
    <w:p>
      <w:pPr>
        <w:jc w:val="both"/>
        <w:ind w:right="20"/>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8" w:lineRule="exact"/>
        <w:rPr>
          <w:sz w:val="24"/>
          <w:szCs w:val="24"/>
          <w:color w:val="auto"/>
        </w:rPr>
      </w:pPr>
    </w:p>
    <w:p>
      <w:pPr>
        <w:jc w:val="both"/>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8"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258"/>
        </w:trPr>
        <w:tc>
          <w:tcPr>
            <w:tcW w:w="19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54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20" w:type="dxa"/>
            <w:vAlign w:val="bottom"/>
          </w:tcPr>
          <w:p>
            <w:pPr>
              <w:ind w:left="3100"/>
              <w:spacing w:after="0"/>
              <w:rPr>
                <w:sz w:val="20"/>
                <w:szCs w:val="20"/>
                <w:color w:val="auto"/>
              </w:rPr>
            </w:pPr>
            <w:r>
              <w:rPr>
                <w:rFonts w:ascii="Times New Roman" w:cs="Times New Roman" w:eastAsia="Times New Roman" w:hAnsi="Times New Roman"/>
                <w:sz w:val="15"/>
                <w:szCs w:val="15"/>
                <w:color w:val="auto"/>
              </w:rPr>
              <w:t>Accelerated filer</w:t>
            </w:r>
          </w:p>
        </w:tc>
        <w:tc>
          <w:tcPr>
            <w:tcW w:w="4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351"/>
        </w:trPr>
        <w:tc>
          <w:tcPr>
            <w:tcW w:w="19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54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20" w:type="dxa"/>
            <w:vAlign w:val="bottom"/>
          </w:tcPr>
          <w:p>
            <w:pPr>
              <w:ind w:left="31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4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351"/>
        </w:trPr>
        <w:tc>
          <w:tcPr>
            <w:tcW w:w="198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54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2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115" w:lineRule="exact"/>
        <w:rPr>
          <w:sz w:val="24"/>
          <w:szCs w:val="24"/>
          <w:color w:val="auto"/>
        </w:rPr>
      </w:pPr>
    </w:p>
    <w:p>
      <w:pPr>
        <w:spacing w:after="0" w:line="19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spacing w:after="0" w:line="173" w:lineRule="exact"/>
        <w:tabs>
          <w:tab w:leader="none" w:pos="7720" w:val="left"/>
        </w:tabs>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78"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As of May 8, 2026, the number of shares of Registrant’s Class A Common Stock outstanding was 15,292,984 and the number of shares of Registrant’s Class B Common Stock outstanding was 27,573,875.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711835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56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20" w:type="dxa"/>
            <w:vAlign w:val="bottom"/>
            <w:gridSpan w:val="9"/>
            <w:vMerge w:val="restart"/>
          </w:tcPr>
          <w:p>
            <w:pPr>
              <w:ind w:left="20"/>
              <w:spacing w:after="0"/>
              <w:rPr>
                <w:sz w:val="20"/>
                <w:szCs w:val="20"/>
                <w:color w:val="auto"/>
              </w:rPr>
            </w:pPr>
            <w:r>
              <w:rPr>
                <w:rFonts w:ascii="Times New Roman" w:cs="Times New Roman" w:eastAsia="Times New Roman" w:hAnsi="Times New Roman"/>
                <w:sz w:val="18"/>
                <w:szCs w:val="18"/>
                <w:b w:val="1"/>
                <w:bCs w:val="1"/>
                <w:color w:val="0563C1"/>
                <w:w w:val="98"/>
              </w:rPr>
              <w:t>FINANCIAL INFORMATION</w:t>
            </w:r>
          </w:p>
        </w:tc>
        <w:tc>
          <w:tcPr>
            <w:tcW w:w="6800" w:type="dxa"/>
            <w:vAlign w:val="bottom"/>
            <w:gridSpan w:val="10"/>
            <w:vMerge w:val="restart"/>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240" w:type="dxa"/>
            <w:vAlign w:val="bottom"/>
            <w:gridSpan w:val="2"/>
            <w:vMerge w:val="continue"/>
          </w:tcPr>
          <w:p>
            <w:pPr>
              <w:spacing w:after="0"/>
              <w:rPr>
                <w:sz w:val="14"/>
                <w:szCs w:val="14"/>
                <w:color w:val="auto"/>
              </w:rPr>
            </w:pPr>
          </w:p>
        </w:tc>
        <w:tc>
          <w:tcPr>
            <w:tcW w:w="2420" w:type="dxa"/>
            <w:vAlign w:val="bottom"/>
            <w:tcBorders>
              <w:bottom w:val="single" w:sz="8" w:color="0563C1"/>
            </w:tcBorders>
            <w:gridSpan w:val="9"/>
            <w:vMerge w:val="continue"/>
          </w:tcPr>
          <w:p>
            <w:pPr>
              <w:spacing w:after="0"/>
              <w:rPr>
                <w:sz w:val="14"/>
                <w:szCs w:val="14"/>
                <w:color w:val="auto"/>
              </w:rPr>
            </w:pPr>
          </w:p>
        </w:tc>
        <w:tc>
          <w:tcPr>
            <w:tcW w:w="6800" w:type="dxa"/>
            <w:vAlign w:val="bottom"/>
            <w:gridSpan w:val="10"/>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12"/>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563C1"/>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20" w:type="dxa"/>
            <w:vAlign w:val="bottom"/>
            <w:gridSpan w:val="19"/>
          </w:tcPr>
          <w:p>
            <w:pPr>
              <w:ind w:left="20"/>
              <w:spacing w:after="0" w:line="196" w:lineRule="exact"/>
              <w:rPr>
                <w:sz w:val="20"/>
                <w:szCs w:val="20"/>
                <w:color w:val="auto"/>
              </w:rPr>
            </w:pPr>
            <w:r>
              <w:rPr>
                <w:rFonts w:ascii="Times New Roman" w:cs="Times New Roman" w:eastAsia="Times New Roman" w:hAnsi="Times New Roman"/>
                <w:sz w:val="18"/>
                <w:szCs w:val="18"/>
                <w:color w:val="0563C1"/>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600" w:type="dxa"/>
            <w:vAlign w:val="bottom"/>
            <w:gridSpan w:val="2"/>
            <w:shd w:val="clear" w:color="auto" w:fill="0563C1"/>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20" w:type="dxa"/>
            <w:vAlign w:val="bottom"/>
            <w:gridSpan w:val="19"/>
          </w:tcPr>
          <w:p>
            <w:pPr>
              <w:ind w:left="20"/>
              <w:spacing w:after="0" w:line="196" w:lineRule="exact"/>
              <w:rPr>
                <w:sz w:val="20"/>
                <w:szCs w:val="20"/>
                <w:color w:val="auto"/>
              </w:rPr>
            </w:pPr>
            <w:r>
              <w:rPr>
                <w:rFonts w:ascii="Times New Roman" w:cs="Times New Roman" w:eastAsia="Times New Roman" w:hAnsi="Times New Roman"/>
                <w:sz w:val="18"/>
                <w:szCs w:val="18"/>
                <w:color w:val="0563C1"/>
              </w:rPr>
              <w:t>Condensed Consolidated Statements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320" w:type="dxa"/>
            <w:vAlign w:val="bottom"/>
            <w:gridSpan w:val="3"/>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0" w:type="dxa"/>
            <w:vAlign w:val="bottom"/>
            <w:tcBorders>
              <w:bottom w:val="single" w:sz="8" w:color="0563C1"/>
            </w:tcBorders>
            <w:gridSpan w:val="15"/>
          </w:tcPr>
          <w:p>
            <w:pPr>
              <w:ind w:left="20"/>
              <w:spacing w:after="0" w:line="196" w:lineRule="exact"/>
              <w:rPr>
                <w:sz w:val="20"/>
                <w:szCs w:val="20"/>
                <w:color w:val="auto"/>
              </w:rPr>
            </w:pPr>
            <w:r>
              <w:rPr>
                <w:rFonts w:ascii="Times New Roman" w:cs="Times New Roman" w:eastAsia="Times New Roman" w:hAnsi="Times New Roman"/>
                <w:sz w:val="18"/>
                <w:szCs w:val="18"/>
                <w:color w:val="0563C1"/>
                <w:w w:val="99"/>
              </w:rPr>
              <w:t>Condensed Consolidated Statements of Comprehensive Income</w:t>
            </w:r>
          </w:p>
        </w:tc>
        <w:tc>
          <w:tcPr>
            <w:tcW w:w="462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20" w:type="dxa"/>
            <w:vAlign w:val="bottom"/>
            <w:gridSpan w:val="19"/>
          </w:tcPr>
          <w:p>
            <w:pPr>
              <w:ind w:left="20"/>
              <w:spacing w:after="0" w:line="196" w:lineRule="exact"/>
              <w:rPr>
                <w:sz w:val="20"/>
                <w:szCs w:val="20"/>
                <w:color w:val="auto"/>
              </w:rPr>
            </w:pPr>
            <w:r>
              <w:rPr>
                <w:rFonts w:ascii="Times New Roman" w:cs="Times New Roman" w:eastAsia="Times New Roman" w:hAnsi="Times New Roman"/>
                <w:sz w:val="18"/>
                <w:szCs w:val="18"/>
                <w:color w:val="0563C1"/>
              </w:rPr>
              <w:t>Condensed Consolidated Statements of Changes in Stockholders'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tcBorders>
              <w:top w:val="single" w:sz="8" w:color="0563C1"/>
            </w:tcBorders>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563C1"/>
              </w:rPr>
              <w:t>Condensed Consolidated Statements of Cash Flows</w:t>
            </w:r>
          </w:p>
        </w:tc>
        <w:tc>
          <w:tcPr>
            <w:tcW w:w="400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380" w:type="dxa"/>
            <w:vAlign w:val="bottom"/>
            <w:gridSpan w:val="4"/>
            <w:shd w:val="clear" w:color="auto" w:fill="0563C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0" w:type="dxa"/>
            <w:vAlign w:val="bottom"/>
            <w:tcBorders>
              <w:bottom w:val="single" w:sz="8" w:color="0563C1"/>
            </w:tcBorders>
            <w:gridSpan w:val="16"/>
          </w:tcPr>
          <w:p>
            <w:pPr>
              <w:ind w:left="20"/>
              <w:spacing w:after="0" w:line="196" w:lineRule="exact"/>
              <w:rPr>
                <w:sz w:val="20"/>
                <w:szCs w:val="20"/>
                <w:color w:val="auto"/>
              </w:rPr>
            </w:pPr>
            <w:r>
              <w:rPr>
                <w:rFonts w:ascii="Times New Roman" w:cs="Times New Roman" w:eastAsia="Times New Roman" w:hAnsi="Times New Roman"/>
                <w:sz w:val="18"/>
                <w:szCs w:val="18"/>
                <w:color w:val="0563C1"/>
                <w:w w:val="99"/>
              </w:rPr>
              <w:t>Notes to Unaudited Condensed Consolidated Financial Statements</w:t>
            </w:r>
          </w:p>
        </w:tc>
        <w:tc>
          <w:tcPr>
            <w:tcW w:w="442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2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80" w:type="dxa"/>
            <w:vAlign w:val="bottom"/>
            <w:tcBorders>
              <w:bottom w:val="single" w:sz="8" w:color="0563C1"/>
            </w:tcBorders>
            <w:gridSpan w:val="18"/>
          </w:tcPr>
          <w:p>
            <w:pPr>
              <w:ind w:left="20"/>
              <w:spacing w:after="0" w:line="196" w:lineRule="exact"/>
              <w:rPr>
                <w:sz w:val="20"/>
                <w:szCs w:val="20"/>
                <w:color w:val="auto"/>
              </w:rPr>
            </w:pPr>
            <w:r>
              <w:rPr>
                <w:rFonts w:ascii="Times New Roman" w:cs="Times New Roman" w:eastAsia="Times New Roman" w:hAnsi="Times New Roman"/>
                <w:sz w:val="18"/>
                <w:szCs w:val="18"/>
                <w:color w:val="0563C1"/>
                <w:w w:val="99"/>
              </w:rPr>
              <w:t>Management’s Discussion and Analysis of Financial Condition and Results of Operations</w:t>
            </w:r>
          </w:p>
        </w:tc>
        <w:tc>
          <w:tcPr>
            <w:tcW w:w="27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2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bottom w:val="single" w:sz="8" w:color="0563C1"/>
            </w:tcBorders>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563C1"/>
                <w:w w:val="99"/>
              </w:rPr>
              <w:t>Quantitative and Qualitative Disclosures About Market Risk</w:t>
            </w:r>
          </w:p>
        </w:tc>
        <w:tc>
          <w:tcPr>
            <w:tcW w:w="484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12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563C1"/>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563C1"/>
                <w:w w:val="98"/>
              </w:rPr>
              <w:t>Controls and Procedures</w:t>
            </w:r>
          </w:p>
        </w:tc>
        <w:tc>
          <w:tcPr>
            <w:tcW w:w="20" w:type="dxa"/>
            <w:vAlign w:val="bottom"/>
            <w:tcBorders>
              <w:bottom w:val="single" w:sz="8" w:color="0000EE"/>
            </w:tcBorders>
          </w:tcPr>
          <w:p>
            <w:pPr>
              <w:spacing w:after="0"/>
              <w:rPr>
                <w:sz w:val="17"/>
                <w:szCs w:val="17"/>
                <w:color w:val="auto"/>
              </w:rPr>
            </w:pPr>
          </w:p>
        </w:tc>
        <w:tc>
          <w:tcPr>
            <w:tcW w:w="742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41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220" w:type="dxa"/>
            <w:vAlign w:val="bottom"/>
            <w:gridSpan w:val="19"/>
          </w:tcPr>
          <w:p>
            <w:pPr>
              <w:ind w:left="20"/>
              <w:spacing w:after="0"/>
              <w:rPr>
                <w:sz w:val="20"/>
                <w:szCs w:val="20"/>
                <w:color w:val="auto"/>
              </w:rPr>
            </w:pPr>
            <w:r>
              <w:rPr>
                <w:rFonts w:ascii="Times New Roman" w:cs="Times New Roman" w:eastAsia="Times New Roman" w:hAnsi="Times New Roman"/>
                <w:sz w:val="18"/>
                <w:szCs w:val="18"/>
                <w:b w:val="1"/>
                <w:bCs w:val="1"/>
                <w:color w:val="0563C1"/>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412"/>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2040" w:type="dxa"/>
            <w:vAlign w:val="bottom"/>
            <w:tcBorders>
              <w:top w:val="single" w:sz="8" w:color="0563C1"/>
            </w:tcBorders>
            <w:gridSpan w:val="7"/>
          </w:tcPr>
          <w:p>
            <w:pPr>
              <w:ind w:left="20"/>
              <w:spacing w:after="0"/>
              <w:rPr>
                <w:sz w:val="20"/>
                <w:szCs w:val="20"/>
                <w:color w:val="auto"/>
              </w:rPr>
            </w:pPr>
            <w:r>
              <w:rPr>
                <w:rFonts w:ascii="Times New Roman" w:cs="Times New Roman" w:eastAsia="Times New Roman" w:hAnsi="Times New Roman"/>
                <w:sz w:val="18"/>
                <w:szCs w:val="18"/>
                <w:color w:val="0563C1"/>
              </w:rPr>
              <w:t>Legal Proceedings</w:t>
            </w:r>
          </w:p>
        </w:tc>
        <w:tc>
          <w:tcPr>
            <w:tcW w:w="718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2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563C1"/>
              <w:bottom w:val="single" w:sz="8" w:color="0563C1"/>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563C1"/>
                <w:w w:val="97"/>
              </w:rPr>
              <w:t>Risk Factors</w:t>
            </w:r>
          </w:p>
        </w:tc>
        <w:tc>
          <w:tcPr>
            <w:tcW w:w="420" w:type="dxa"/>
            <w:vAlign w:val="bottom"/>
            <w:tcBorders>
              <w:top w:val="single" w:sz="8" w:color="0563C1"/>
            </w:tcBorders>
            <w:gridSpan w:val="2"/>
          </w:tcPr>
          <w:p>
            <w:pPr>
              <w:spacing w:after="0"/>
              <w:rPr>
                <w:sz w:val="17"/>
                <w:szCs w:val="17"/>
                <w:color w:val="auto"/>
              </w:rPr>
            </w:pPr>
          </w:p>
        </w:tc>
        <w:tc>
          <w:tcPr>
            <w:tcW w:w="7880" w:type="dxa"/>
            <w:vAlign w:val="bottom"/>
            <w:gridSpan w:val="1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2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563C1"/>
            </w:tcBorders>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563C1"/>
                <w:w w:val="99"/>
              </w:rPr>
              <w:t>Unregistered Sales of Equity Securities and Use of Proceeds</w:t>
            </w:r>
          </w:p>
        </w:tc>
        <w:tc>
          <w:tcPr>
            <w:tcW w:w="4860" w:type="dxa"/>
            <w:vAlign w:val="bottom"/>
            <w:gridSpan w:val="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2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563C1"/>
            </w:tcBorders>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563C1"/>
                <w:w w:val="98"/>
              </w:rPr>
              <w:t>Defaults Upon Senior Securities</w:t>
            </w:r>
          </w:p>
        </w:tc>
        <w:tc>
          <w:tcPr>
            <w:tcW w:w="6880" w:type="dxa"/>
            <w:vAlign w:val="bottom"/>
            <w:gridSpan w:val="1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12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563C1"/>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563C1"/>
                <w:w w:val="98"/>
              </w:rPr>
              <w:t>Mine Safety Disclosures</w:t>
            </w:r>
          </w:p>
        </w:tc>
        <w:tc>
          <w:tcPr>
            <w:tcW w:w="7440" w:type="dxa"/>
            <w:vAlign w:val="bottom"/>
            <w:gridSpan w:val="1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12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220" w:type="dxa"/>
            <w:vAlign w:val="bottom"/>
            <w:gridSpan w:val="19"/>
          </w:tcPr>
          <w:p>
            <w:pPr>
              <w:ind w:left="20"/>
              <w:spacing w:after="0" w:line="196" w:lineRule="exact"/>
              <w:rPr>
                <w:sz w:val="20"/>
                <w:szCs w:val="20"/>
                <w:color w:val="auto"/>
              </w:rPr>
            </w:pPr>
            <w:r>
              <w:rPr>
                <w:rFonts w:ascii="Times New Roman" w:cs="Times New Roman" w:eastAsia="Times New Roman" w:hAnsi="Times New Roman"/>
                <w:sz w:val="18"/>
                <w:szCs w:val="18"/>
                <w:color w:val="0563C1"/>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12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563C1"/>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563C1"/>
              </w:rPr>
              <w:t>Exhibits</w:t>
            </w:r>
          </w:p>
        </w:tc>
        <w:tc>
          <w:tcPr>
            <w:tcW w:w="7900" w:type="dxa"/>
            <w:vAlign w:val="bottom"/>
            <w:gridSpan w:val="1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563C1"/>
              </w:rPr>
              <w:t>Signatures</w:t>
            </w:r>
          </w:p>
        </w:tc>
        <w:tc>
          <w:tcPr>
            <w:tcW w:w="600" w:type="dxa"/>
            <w:vAlign w:val="bottom"/>
            <w:tcBorders>
              <w:top w:val="single" w:sz="8" w:color="0563C1"/>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323"/>
        </w:trPr>
        <w:tc>
          <w:tcPr>
            <w:tcW w:w="760" w:type="dxa"/>
            <w:vAlign w:val="bottom"/>
            <w:tcBorders>
              <w:top w:val="single" w:sz="8" w:color="0563C1"/>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bl>
      <w:tblPr>
        <w:tblLayout w:type="fixed"/>
        <w:tblInd w:w="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right"/>
              <w:ind w:right="680"/>
              <w:spacing w:after="0" w:line="186" w:lineRule="exact"/>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7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2026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7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80" w:type="dxa"/>
            <w:vAlign w:val="bottom"/>
          </w:tcPr>
          <w:p>
            <w:pPr>
              <w:spacing w:after="0"/>
              <w:rPr>
                <w:sz w:val="19"/>
                <w:szCs w:val="19"/>
                <w:color w:val="auto"/>
              </w:rPr>
            </w:pPr>
          </w:p>
        </w:tc>
        <w:tc>
          <w:tcPr>
            <w:tcW w:w="1380" w:type="dxa"/>
            <w:vAlign w:val="bottom"/>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9"/>
                <w:szCs w:val="19"/>
                <w:color w:val="auto"/>
              </w:rPr>
            </w:pPr>
          </w:p>
        </w:tc>
      </w:tr>
      <w:tr>
        <w:trPr>
          <w:trHeight w:val="197"/>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Cash</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43,982,867</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97,149,425</w:t>
            </w:r>
          </w:p>
        </w:tc>
        <w:tc>
          <w:tcPr>
            <w:tcW w:w="12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receivable, net</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96,631,099</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61,282,268</w:t>
            </w:r>
          </w:p>
        </w:tc>
        <w:tc>
          <w:tcPr>
            <w:tcW w:w="12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Contract assets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85,238,241</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54,894,260</w:t>
            </w:r>
          </w:p>
        </w:tc>
        <w:tc>
          <w:tcPr>
            <w:tcW w:w="120" w:type="dxa"/>
            <w:vAlign w:val="bottom"/>
            <w:shd w:val="clear" w:color="auto" w:fill="CFF0FC"/>
          </w:tcPr>
          <w:p>
            <w:pPr>
              <w:spacing w:after="0"/>
              <w:rPr>
                <w:sz w:val="17"/>
                <w:szCs w:val="17"/>
                <w:color w:val="auto"/>
              </w:rPr>
            </w:pPr>
          </w:p>
        </w:tc>
      </w:tr>
      <w:tr>
        <w:trPr>
          <w:trHeight w:val="202"/>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Prepaid expenses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1,686,826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1,892,615</w:t>
            </w:r>
          </w:p>
        </w:tc>
        <w:tc>
          <w:tcPr>
            <w:tcW w:w="120" w:type="dxa"/>
            <w:vAlign w:val="bottom"/>
          </w:tcPr>
          <w:p>
            <w:pPr>
              <w:spacing w:after="0"/>
              <w:rPr>
                <w:sz w:val="17"/>
                <w:szCs w:val="17"/>
                <w:color w:val="auto"/>
              </w:rPr>
            </w:pPr>
          </w:p>
        </w:tc>
      </w:tr>
      <w:tr>
        <w:trPr>
          <w:trHeight w:val="203"/>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540,049</w:t>
            </w: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432,584</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 current assets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228,079,082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215,651,152</w:t>
            </w:r>
          </w:p>
        </w:tc>
        <w:tc>
          <w:tcPr>
            <w:tcW w:w="12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125,541,991</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84,901,602</w:t>
            </w:r>
          </w:p>
        </w:tc>
        <w:tc>
          <w:tcPr>
            <w:tcW w:w="12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20,438,873</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8,929,742</w:t>
            </w:r>
          </w:p>
        </w:tc>
        <w:tc>
          <w:tcPr>
            <w:tcW w:w="12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Goodwill</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128,619,937</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23,510,649</w:t>
            </w:r>
          </w:p>
        </w:tc>
        <w:tc>
          <w:tcPr>
            <w:tcW w:w="12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Intangible assets, net</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109,046,343</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15,513,692</w:t>
            </w:r>
          </w:p>
        </w:tc>
        <w:tc>
          <w:tcPr>
            <w:tcW w:w="12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Deferred tax assets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45,095,262</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46,080,518</w:t>
            </w:r>
          </w:p>
        </w:tc>
        <w:tc>
          <w:tcPr>
            <w:tcW w:w="12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non-current assets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430,427</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36"/>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657,251,915</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394,587,355</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384"/>
        </w:trPr>
        <w:tc>
          <w:tcPr>
            <w:tcW w:w="7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4"/>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portion of notes payable</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10,129,136</w:t>
            </w:r>
          </w:p>
        </w:tc>
        <w:tc>
          <w:tcPr>
            <w:tcW w:w="2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6,128,674</w:t>
            </w:r>
          </w:p>
        </w:tc>
        <w:tc>
          <w:tcPr>
            <w:tcW w:w="12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Current portion of finance lease liabilities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3,487,722</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3,349,359</w:t>
            </w:r>
          </w:p>
        </w:tc>
        <w:tc>
          <w:tcPr>
            <w:tcW w:w="12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portion of operating lease liabilities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5,455,264</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3,814,686</w:t>
            </w:r>
          </w:p>
        </w:tc>
        <w:tc>
          <w:tcPr>
            <w:tcW w:w="12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94,734,950</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60,600,099</w:t>
            </w:r>
          </w:p>
        </w:tc>
        <w:tc>
          <w:tcPr>
            <w:tcW w:w="12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expenses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8,172,033</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2,956,314</w:t>
            </w:r>
          </w:p>
        </w:tc>
        <w:tc>
          <w:tcPr>
            <w:tcW w:w="12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Deferred consideration payable</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200,001</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3,966,618</w:t>
            </w:r>
          </w:p>
        </w:tc>
        <w:tc>
          <w:tcPr>
            <w:tcW w:w="12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Contract liabilities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9,669,372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10,831,564</w:t>
            </w:r>
          </w:p>
        </w:tc>
        <w:tc>
          <w:tcPr>
            <w:tcW w:w="12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22,178</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774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131,870,656</w:t>
            </w: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91,647,314</w:t>
            </w:r>
          </w:p>
        </w:tc>
        <w:tc>
          <w:tcPr>
            <w:tcW w:w="120" w:type="dxa"/>
            <w:vAlign w:val="bottom"/>
            <w:tcBorders>
              <w:top w:val="single" w:sz="8" w:color="CFF0FC"/>
            </w:tcBorders>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Notes payable, less current portion, net of unamortized debt issuance costs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185,898,921</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113,152,864</w:t>
            </w:r>
          </w:p>
        </w:tc>
        <w:tc>
          <w:tcPr>
            <w:tcW w:w="120" w:type="dxa"/>
            <w:vAlign w:val="bottom"/>
            <w:shd w:val="clear" w:color="auto" w:fill="CFF0FC"/>
          </w:tcPr>
          <w:p>
            <w:pPr>
              <w:spacing w:after="0"/>
              <w:rPr>
                <w:sz w:val="17"/>
                <w:szCs w:val="17"/>
                <w:color w:val="auto"/>
              </w:rPr>
            </w:pPr>
          </w:p>
        </w:tc>
      </w:tr>
      <w:tr>
        <w:trPr>
          <w:trHeight w:val="202"/>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Finance lease liabilities, less current portion</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4,993,315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4,974,309</w:t>
            </w:r>
          </w:p>
        </w:tc>
        <w:tc>
          <w:tcPr>
            <w:tcW w:w="12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Operating lease liabilities, less current portion</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17,255,749</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5,851,516</w:t>
            </w:r>
          </w:p>
        </w:tc>
        <w:tc>
          <w:tcPr>
            <w:tcW w:w="12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Tax receivable agreement liability</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39,423,529</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39,423,529</w:t>
            </w:r>
          </w:p>
        </w:tc>
        <w:tc>
          <w:tcPr>
            <w:tcW w:w="12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Contingent consideration</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15,254,000</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554,159</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liabilities</w:t>
            </w:r>
          </w:p>
        </w:tc>
        <w:tc>
          <w:tcPr>
            <w:tcW w:w="22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395,250,329</w:t>
            </w:r>
          </w:p>
        </w:tc>
        <w:tc>
          <w:tcPr>
            <w:tcW w:w="2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255,049,532</w:t>
            </w:r>
          </w:p>
        </w:tc>
        <w:tc>
          <w:tcPr>
            <w:tcW w:w="12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 (Note 15)</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81"/>
        </w:trPr>
        <w:tc>
          <w:tcPr>
            <w:tcW w:w="7740" w:type="dxa"/>
            <w:vAlign w:val="bottom"/>
          </w:tcPr>
          <w:p>
            <w:pPr>
              <w:ind w:left="140"/>
              <w:spacing w:after="0" w:line="181" w:lineRule="exact"/>
              <w:rPr>
                <w:sz w:val="20"/>
                <w:szCs w:val="20"/>
                <w:color w:val="auto"/>
              </w:rPr>
            </w:pPr>
            <w:r>
              <w:rPr>
                <w:rFonts w:ascii="Times New Roman" w:cs="Times New Roman" w:eastAsia="Times New Roman" w:hAnsi="Times New Roman"/>
                <w:sz w:val="17"/>
                <w:szCs w:val="17"/>
                <w:color w:val="auto"/>
              </w:rPr>
              <w:t>Preferred stock, $0.0001 par value, 10,000,000 shares authorized, no shares issued and outstanding as of</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March 31, 2026 and December 31 2025</w:t>
            </w:r>
          </w:p>
        </w:tc>
        <w:tc>
          <w:tcPr>
            <w:tcW w:w="22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182"/>
        </w:trPr>
        <w:tc>
          <w:tcPr>
            <w:tcW w:w="7740" w:type="dxa"/>
            <w:vAlign w:val="bottom"/>
            <w:shd w:val="clear" w:color="auto" w:fill="CFF0FC"/>
          </w:tcPr>
          <w:p>
            <w:pPr>
              <w:ind w:left="140"/>
              <w:spacing w:after="0" w:line="182" w:lineRule="exact"/>
              <w:rPr>
                <w:sz w:val="20"/>
                <w:szCs w:val="20"/>
                <w:color w:val="auto"/>
              </w:rPr>
            </w:pPr>
            <w:r>
              <w:rPr>
                <w:rFonts w:ascii="Times New Roman" w:cs="Times New Roman" w:eastAsia="Times New Roman" w:hAnsi="Times New Roman"/>
                <w:sz w:val="17"/>
                <w:szCs w:val="17"/>
                <w:color w:val="auto"/>
              </w:rPr>
              <w:t>Class A common stock, $0.0001 par value, 500,000,000 shares authorized; 15,292,984 and</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2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14,947,318 shares issued and outstanding as of March 31, 2026 and December 31 2025, respectively</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1,530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1,495</w:t>
            </w:r>
          </w:p>
        </w:tc>
        <w:tc>
          <w:tcPr>
            <w:tcW w:w="120" w:type="dxa"/>
            <w:vAlign w:val="bottom"/>
            <w:shd w:val="clear" w:color="auto" w:fill="CFF0FC"/>
          </w:tcPr>
          <w:p>
            <w:pPr>
              <w:spacing w:after="0"/>
              <w:rPr>
                <w:sz w:val="19"/>
                <w:szCs w:val="19"/>
                <w:color w:val="auto"/>
              </w:rPr>
            </w:pPr>
          </w:p>
        </w:tc>
      </w:tr>
      <w:tr>
        <w:trPr>
          <w:trHeight w:val="181"/>
        </w:trPr>
        <w:tc>
          <w:tcPr>
            <w:tcW w:w="7740" w:type="dxa"/>
            <w:vAlign w:val="bottom"/>
          </w:tcPr>
          <w:p>
            <w:pPr>
              <w:ind w:left="140"/>
              <w:spacing w:after="0" w:line="181" w:lineRule="exact"/>
              <w:rPr>
                <w:sz w:val="20"/>
                <w:szCs w:val="20"/>
                <w:color w:val="auto"/>
              </w:rPr>
            </w:pPr>
            <w:r>
              <w:rPr>
                <w:rFonts w:ascii="Times New Roman" w:cs="Times New Roman" w:eastAsia="Times New Roman" w:hAnsi="Times New Roman"/>
                <w:sz w:val="17"/>
                <w:szCs w:val="17"/>
                <w:color w:val="auto"/>
              </w:rPr>
              <w:t>Class B common stock, $0.0001 par value, 500,000,000 shares authorized; 27,573,875 and</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23,387,813 shares issued and outstanding as of March 31, 2026 and December 31 2025, respectively</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2,339</w:t>
            </w:r>
          </w:p>
        </w:tc>
        <w:tc>
          <w:tcPr>
            <w:tcW w:w="120" w:type="dxa"/>
            <w:vAlign w:val="bottom"/>
          </w:tcPr>
          <w:p>
            <w:pPr>
              <w:spacing w:after="0"/>
              <w:rPr>
                <w:sz w:val="19"/>
                <w:szCs w:val="19"/>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66,275,188</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57,593,814</w:t>
            </w:r>
          </w:p>
        </w:tc>
        <w:tc>
          <w:tcPr>
            <w:tcW w:w="12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4,282,031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863,593</w:t>
            </w:r>
          </w:p>
        </w:tc>
        <w:tc>
          <w:tcPr>
            <w:tcW w:w="12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(151,904)</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191,591,984</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81,076,582</w:t>
            </w:r>
          </w:p>
        </w:tc>
        <w:tc>
          <w:tcPr>
            <w:tcW w:w="120" w:type="dxa"/>
            <w:vAlign w:val="bottom"/>
          </w:tcPr>
          <w:p>
            <w:pPr>
              <w:spacing w:after="0"/>
              <w:rPr>
                <w:sz w:val="17"/>
                <w:szCs w:val="17"/>
                <w:color w:val="auto"/>
              </w:rPr>
            </w:pPr>
          </w:p>
        </w:tc>
      </w:tr>
      <w:tr>
        <w:trPr>
          <w:trHeight w:val="196"/>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262,001,586</w:t>
            </w: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139,537,823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657,251,915</w:t>
            </w:r>
          </w:p>
        </w:tc>
        <w:tc>
          <w:tcPr>
            <w:tcW w:w="26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394,587,355</w:t>
            </w:r>
          </w:p>
        </w:tc>
        <w:tc>
          <w:tcPr>
            <w:tcW w:w="12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-5374005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-5374005</wp:posOffset>
            </wp:positionV>
            <wp:extent cx="77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-4328160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-4311015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-4328160</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-4311015</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-2887980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-2887980</wp:posOffset>
            </wp:positionV>
            <wp:extent cx="77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-161925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60" w:type="dxa"/>
            <w:vAlign w:val="bottom"/>
            <w:gridSpan w:val="6"/>
          </w:tcPr>
          <w:p>
            <w:pPr>
              <w:jc w:val="right"/>
              <w:ind w:right="1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5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r>
      <w:tr>
        <w:trPr>
          <w:trHeight w:val="209"/>
        </w:trPr>
        <w:tc>
          <w:tcPr>
            <w:tcW w:w="5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8"/>
                <w:szCs w:val="18"/>
                <w:color w:val="auto"/>
              </w:rPr>
            </w:pPr>
          </w:p>
        </w:tc>
      </w:tr>
      <w:tr>
        <w:trPr>
          <w:trHeight w:val="20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167,508,716</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81,801,265</w:t>
            </w:r>
          </w:p>
        </w:tc>
        <w:tc>
          <w:tcPr>
            <w:tcW w:w="320" w:type="dxa"/>
            <w:vAlign w:val="bottom"/>
            <w:shd w:val="clear" w:color="auto" w:fill="CFF0FC"/>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excluding depreciation and amortization</w:t>
            </w: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133,319,083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65,277,978</w:t>
            </w:r>
          </w:p>
        </w:tc>
        <w:tc>
          <w:tcPr>
            <w:tcW w:w="320" w:type="dxa"/>
            <w:vAlign w:val="bottom"/>
          </w:tcPr>
          <w:p>
            <w:pPr>
              <w:spacing w:after="0"/>
              <w:rPr>
                <w:sz w:val="18"/>
                <w:szCs w:val="18"/>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10,142,131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2,125,970</w:t>
            </w:r>
          </w:p>
        </w:tc>
        <w:tc>
          <w:tcPr>
            <w:tcW w:w="320" w:type="dxa"/>
            <w:vAlign w:val="bottom"/>
            <w:shd w:val="clear" w:color="auto" w:fill="CFF0FC"/>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5,702,410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5,071,341</w:t>
            </w:r>
          </w:p>
        </w:tc>
        <w:tc>
          <w:tcPr>
            <w:tcW w:w="320" w:type="dxa"/>
            <w:vAlign w:val="bottom"/>
          </w:tcPr>
          <w:p>
            <w:pPr>
              <w:spacing w:after="0"/>
              <w:rPr>
                <w:sz w:val="18"/>
                <w:szCs w:val="18"/>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3,567,348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1,527,500</w:t>
            </w:r>
          </w:p>
        </w:tc>
        <w:tc>
          <w:tcPr>
            <w:tcW w:w="320" w:type="dxa"/>
            <w:vAlign w:val="bottom"/>
            <w:shd w:val="clear" w:color="auto" w:fill="CFF0FC"/>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(2,397)</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(110,945)</w:t>
            </w:r>
          </w:p>
        </w:tc>
      </w:tr>
      <w:tr>
        <w:trPr>
          <w:trHeight w:val="210"/>
        </w:trPr>
        <w:tc>
          <w:tcPr>
            <w:tcW w:w="59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1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14,780,141</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7,909,421</w:t>
            </w:r>
          </w:p>
        </w:tc>
        <w:tc>
          <w:tcPr>
            <w:tcW w:w="320" w:type="dxa"/>
            <w:vAlign w:val="bottom"/>
            <w:tcBorders>
              <w:bottom w:val="single" w:sz="8" w:color="CFF0FC"/>
            </w:tcBorders>
            <w:shd w:val="clear" w:color="auto" w:fill="CFF0FC"/>
          </w:tcPr>
          <w:p>
            <w:pPr>
              <w:spacing w:after="0"/>
              <w:rPr>
                <w:sz w:val="18"/>
                <w:szCs w:val="18"/>
                <w:color w:val="auto"/>
              </w:rPr>
            </w:pPr>
          </w:p>
        </w:tc>
      </w:tr>
      <w:tr>
        <w:trPr>
          <w:trHeight w:val="425"/>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6"/>
        </w:trPr>
        <w:tc>
          <w:tcPr>
            <w:tcW w:w="5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expense, net</w:t>
            </w:r>
          </w:p>
        </w:tc>
        <w:tc>
          <w:tcPr>
            <w:tcW w:w="1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(2,245,876)</w:t>
            </w: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(1,026,276)</w:t>
            </w:r>
          </w:p>
        </w:tc>
      </w:tr>
      <w:tr>
        <w:trPr>
          <w:trHeight w:val="216"/>
        </w:trPr>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expense, net</w:t>
            </w: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(241,400)</w:t>
            </w:r>
          </w:p>
        </w:tc>
      </w:tr>
      <w:tr>
        <w:trPr>
          <w:trHeight w:val="20"/>
        </w:trPr>
        <w:tc>
          <w:tcPr>
            <w:tcW w:w="5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5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other expense, net</w:t>
            </w:r>
          </w:p>
        </w:tc>
        <w:tc>
          <w:tcPr>
            <w:tcW w:w="1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(2,245,876)</w:t>
            </w: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(1,267,676)</w:t>
            </w:r>
          </w:p>
        </w:tc>
      </w:tr>
      <w:tr>
        <w:trPr>
          <w:trHeight w:val="209"/>
        </w:trPr>
        <w:tc>
          <w:tcPr>
            <w:tcW w:w="594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Net income before taxes</w:t>
            </w:r>
          </w:p>
        </w:tc>
        <w:tc>
          <w:tcPr>
            <w:tcW w:w="116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12,534,265</w:t>
            </w: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6,641,745</w:t>
            </w:r>
          </w:p>
        </w:tc>
        <w:tc>
          <w:tcPr>
            <w:tcW w:w="320" w:type="dxa"/>
            <w:vAlign w:val="bottom"/>
            <w:tcBorders>
              <w:top w:val="single" w:sz="8" w:color="CFF0FC"/>
            </w:tcBorders>
          </w:tcPr>
          <w:p>
            <w:pPr>
              <w:spacing w:after="0"/>
              <w:rPr>
                <w:sz w:val="18"/>
                <w:szCs w:val="18"/>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(1,053,229)</w:t>
            </w: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4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11,481,036</w:t>
            </w: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6,641,745</w:t>
            </w:r>
          </w:p>
        </w:tc>
        <w:tc>
          <w:tcPr>
            <w:tcW w:w="320" w:type="dxa"/>
            <w:vAlign w:val="bottom"/>
            <w:tcBorders>
              <w:top w:val="single" w:sz="8" w:color="CFF0FC"/>
            </w:tcBorders>
          </w:tcPr>
          <w:p>
            <w:pPr>
              <w:spacing w:after="0"/>
              <w:rPr>
                <w:sz w:val="18"/>
                <w:szCs w:val="18"/>
                <w:color w:val="auto"/>
              </w:rPr>
            </w:pPr>
          </w:p>
        </w:tc>
      </w:tr>
      <w:tr>
        <w:trPr>
          <w:trHeight w:val="216"/>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1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8,062,598</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1,164,764</w:t>
            </w:r>
          </w:p>
        </w:tc>
        <w:tc>
          <w:tcPr>
            <w:tcW w:w="320" w:type="dxa"/>
            <w:vAlign w:val="bottom"/>
            <w:tcBorders>
              <w:bottom w:val="single" w:sz="8" w:color="CFF0FC"/>
            </w:tcBorders>
            <w:shd w:val="clear" w:color="auto" w:fill="CFF0FC"/>
          </w:tcPr>
          <w:p>
            <w:pPr>
              <w:spacing w:after="0"/>
              <w:rPr>
                <w:sz w:val="18"/>
                <w:szCs w:val="18"/>
                <w:color w:val="auto"/>
              </w:rPr>
            </w:pPr>
          </w:p>
        </w:tc>
      </w:tr>
      <w:tr>
        <w:trPr>
          <w:trHeight w:val="209"/>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Cardinal Infrastructure Group Inc.</w:t>
            </w: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3,418,438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5,476,981</w:t>
            </w:r>
          </w:p>
        </w:tc>
        <w:tc>
          <w:tcPr>
            <w:tcW w:w="320" w:type="dxa"/>
            <w:vAlign w:val="bottom"/>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7"/>
        </w:trPr>
        <w:tc>
          <w:tcPr>
            <w:tcW w:w="5940" w:type="dxa"/>
            <w:vAlign w:val="bottom"/>
            <w:shd w:val="clear" w:color="auto" w:fill="CFF0FC"/>
          </w:tcPr>
          <w:p>
            <w:pPr>
              <w:spacing w:after="0" w:line="197" w:lineRule="exact"/>
              <w:rPr>
                <w:sz w:val="20"/>
                <w:szCs w:val="20"/>
                <w:color w:val="auto"/>
              </w:rPr>
            </w:pPr>
            <w:r>
              <w:rPr>
                <w:rFonts w:ascii="Times New Roman" w:cs="Times New Roman" w:eastAsia="Times New Roman" w:hAnsi="Times New Roman"/>
                <w:sz w:val="17"/>
                <w:szCs w:val="17"/>
                <w:color w:val="auto"/>
              </w:rPr>
              <w:t>Earnings per share</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w:t>
            </w:r>
          </w:p>
        </w:tc>
        <w:tc>
          <w:tcPr>
            <w:tcW w:w="1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16"/>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5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59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Weighted average shares of Class A common stock outstanding</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w:t>
            </w: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5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15,104,788</w:t>
            </w:r>
          </w:p>
        </w:tc>
        <w:tc>
          <w:tcPr>
            <w:tcW w:w="100" w:type="dxa"/>
            <w:vAlign w:val="bottom"/>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4"/>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15,126,679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-2273935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-2273935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-1570990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-1570990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-1288415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-1288415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-1005205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-1005205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ind w:right="140" w:firstLine="8"/>
        <w:spacing w:after="0" w:line="282" w:lineRule="auto"/>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earnings per share of Class A common stock and weighted-average shares of Class A common stock outstanding for the period following the recapitalization transactions and IPO (see Note 14)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7400" w:type="dxa"/>
            <w:vAlign w:val="bottom"/>
            <w:gridSpan w:val="3"/>
          </w:tcPr>
          <w:p>
            <w:pPr>
              <w:jc w:val="center"/>
              <w:ind w:left="3770"/>
              <w:spacing w:after="0"/>
              <w:rPr>
                <w:sz w:val="20"/>
                <w:szCs w:val="20"/>
                <w:color w:val="auto"/>
              </w:rPr>
            </w:pPr>
            <w:r>
              <w:rPr>
                <w:rFonts w:ascii="Times New Roman" w:cs="Times New Roman" w:eastAsia="Times New Roman" w:hAnsi="Times New Roman"/>
                <w:sz w:val="18"/>
                <w:szCs w:val="18"/>
                <w:b w:val="1"/>
                <w:bCs w:val="1"/>
                <w:color w:val="auto"/>
                <w:w w:val="99"/>
              </w:rPr>
              <w:t>Cardinal Infrastructure Group Inc.</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5"/>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 (Unaudited)</w:t>
            </w: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40" w:type="dxa"/>
            <w:vAlign w:val="bottom"/>
            <w:gridSpan w:val="5"/>
          </w:tcPr>
          <w:p>
            <w:pPr>
              <w:jc w:val="right"/>
              <w:ind w:right="1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54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8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11,481,036</w:t>
            </w:r>
          </w:p>
        </w:tc>
        <w:tc>
          <w:tcPr>
            <w:tcW w:w="3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6,641,745</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Unrealized cash flow hedge (loss)</w:t>
            </w:r>
          </w:p>
        </w:tc>
        <w:tc>
          <w:tcPr>
            <w:tcW w:w="15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(526,177)</w:t>
            </w:r>
          </w:p>
        </w:tc>
        <w:tc>
          <w:tcPr>
            <w:tcW w:w="5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cash flow hedge loss reclassified to net income</w:t>
            </w:r>
          </w:p>
        </w:tc>
        <w:tc>
          <w:tcPr>
            <w:tcW w:w="1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17,813</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5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(508,364)</w:t>
            </w:r>
          </w:p>
        </w:tc>
        <w:tc>
          <w:tcPr>
            <w:tcW w:w="5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4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56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10,972,672</w:t>
            </w:r>
          </w:p>
        </w:tc>
        <w:tc>
          <w:tcPr>
            <w:tcW w:w="340" w:type="dxa"/>
            <w:vAlign w:val="bottom"/>
            <w:tcBorders>
              <w:top w:val="single" w:sz="8" w:color="CFF0FC"/>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6,641,745</w:t>
            </w:r>
          </w:p>
        </w:tc>
        <w:tc>
          <w:tcPr>
            <w:tcW w:w="3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15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(7,706,138)</w:t>
            </w:r>
          </w:p>
        </w:tc>
        <w:tc>
          <w:tcPr>
            <w:tcW w:w="5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(1,164,764)</w:t>
            </w:r>
          </w:p>
        </w:tc>
        <w:tc>
          <w:tcPr>
            <w:tcW w:w="0" w:type="dxa"/>
            <w:vAlign w:val="bottom"/>
          </w:tcPr>
          <w:p>
            <w:pPr>
              <w:spacing w:after="0"/>
              <w:rPr>
                <w:sz w:val="1"/>
                <w:szCs w:val="1"/>
                <w:color w:val="auto"/>
              </w:rPr>
            </w:pPr>
          </w:p>
        </w:tc>
      </w:tr>
      <w:tr>
        <w:trPr>
          <w:trHeight w:val="209"/>
        </w:trPr>
        <w:tc>
          <w:tcPr>
            <w:tcW w:w="54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Comprehensive income attributable to Cardinal Infrastructure Group Inc.</w:t>
            </w:r>
          </w:p>
        </w:tc>
        <w:tc>
          <w:tcPr>
            <w:tcW w:w="156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3,266,534</w:t>
            </w:r>
          </w:p>
        </w:tc>
        <w:tc>
          <w:tcPr>
            <w:tcW w:w="340" w:type="dxa"/>
            <w:vAlign w:val="bottom"/>
            <w:tcBorders>
              <w:top w:val="single" w:sz="8" w:color="CFF0FC"/>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5,476,981</w:t>
            </w:r>
          </w:p>
        </w:tc>
        <w:tc>
          <w:tcPr>
            <w:tcW w:w="3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560" w:type="dxa"/>
            <w:vAlign w:val="bottom"/>
            <w:vMerge w:val="restart"/>
          </w:tcPr>
          <w:p>
            <w:pPr>
              <w:jc w:val="center"/>
              <w:ind w:right="1070"/>
              <w:spacing w:after="0"/>
              <w:rPr>
                <w:sz w:val="20"/>
                <w:szCs w:val="20"/>
                <w:color w:val="auto"/>
              </w:rPr>
            </w:pPr>
            <w:r>
              <w:rPr>
                <w:rFonts w:ascii="Times New Roman" w:cs="Times New Roman" w:eastAsia="Times New Roman" w:hAnsi="Times New Roman"/>
                <w:sz w:val="18"/>
                <w:szCs w:val="18"/>
                <w:color w:val="auto"/>
                <w:w w:val="88"/>
              </w:rPr>
              <w:t>3</w:t>
            </w: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42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4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-1508125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-1508125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-1216660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-1216660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Stockholders'/Members'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Months Ended March 31, 2026 and 2025</w:t>
      </w:r>
    </w:p>
    <w:tbl>
      <w:tblPr>
        <w:tblLayout w:type="fixed"/>
        <w:tblInd w:w="0" w:type="dxa"/>
        <w:tblCellMar>
          <w:top w:w="0" w:type="dxa"/>
          <w:left w:w="0" w:type="dxa"/>
          <w:bottom w:w="0" w:type="dxa"/>
          <w:right w:w="0" w:type="dxa"/>
        </w:tblCellMar>
      </w:tblPr>
      <w:tr>
        <w:trPr>
          <w:trHeight w:val="124"/>
        </w:trPr>
        <w:tc>
          <w:tcPr>
            <w:tcW w:w="2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gridSpan w:val="4"/>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7"/>
              </w:rPr>
              <w:t>Class A Common</w:t>
            </w:r>
          </w:p>
        </w:tc>
        <w:tc>
          <w:tcPr>
            <w:tcW w:w="220" w:type="dxa"/>
            <w:vAlign w:val="bottom"/>
          </w:tcPr>
          <w:p>
            <w:pPr>
              <w:spacing w:after="0"/>
              <w:rPr>
                <w:sz w:val="10"/>
                <w:szCs w:val="10"/>
                <w:color w:val="auto"/>
              </w:rPr>
            </w:pPr>
          </w:p>
        </w:tc>
        <w:tc>
          <w:tcPr>
            <w:tcW w:w="1540" w:type="dxa"/>
            <w:vAlign w:val="bottom"/>
            <w:gridSpan w:val="5"/>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7"/>
              </w:rPr>
              <w:t>Class B Common</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Borders>
              <w:bottom w:val="single" w:sz="8" w:color="auto"/>
            </w:tcBorders>
            <w:gridSpan w:val="2"/>
          </w:tcPr>
          <w:p>
            <w:pPr>
              <w:jc w:val="center"/>
              <w:ind w:left="35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Borders>
              <w:bottom w:val="single" w:sz="8" w:color="auto"/>
            </w:tcBorders>
            <w:gridSpan w:val="2"/>
          </w:tcPr>
          <w:p>
            <w:pPr>
              <w:jc w:val="center"/>
              <w:ind w:left="53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Accumulate</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d Other</w:t>
            </w:r>
          </w:p>
        </w:tc>
        <w:tc>
          <w:tcPr>
            <w:tcW w:w="10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Noncontrollin</w:t>
            </w:r>
          </w:p>
        </w:tc>
        <w:tc>
          <w:tcPr>
            <w:tcW w:w="10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Members'</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9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5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220" w:type="dxa"/>
            <w:vAlign w:val="bottom"/>
          </w:tcPr>
          <w:p>
            <w:pPr>
              <w:spacing w:after="0"/>
              <w:rPr>
                <w:sz w:val="11"/>
                <w:szCs w:val="11"/>
                <w:color w:val="auto"/>
              </w:rPr>
            </w:pPr>
          </w:p>
        </w:tc>
        <w:tc>
          <w:tcPr>
            <w:tcW w:w="9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Comprehen</w:t>
            </w:r>
          </w:p>
        </w:tc>
        <w:tc>
          <w:tcPr>
            <w:tcW w:w="100" w:type="dxa"/>
            <w:vAlign w:val="bottom"/>
          </w:tcPr>
          <w:p>
            <w:pPr>
              <w:spacing w:after="0"/>
              <w:rPr>
                <w:sz w:val="11"/>
                <w:szCs w:val="11"/>
                <w:color w:val="auto"/>
              </w:rPr>
            </w:pPr>
          </w:p>
        </w:tc>
        <w:tc>
          <w:tcPr>
            <w:tcW w:w="92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g</w:t>
            </w:r>
          </w:p>
        </w:tc>
        <w:tc>
          <w:tcPr>
            <w:tcW w:w="100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55"/>
        </w:trPr>
        <w:tc>
          <w:tcPr>
            <w:tcW w:w="20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20" w:type="dxa"/>
            <w:vAlign w:val="bottom"/>
          </w:tcPr>
          <w:p>
            <w:pPr>
              <w:spacing w:after="0"/>
              <w:rPr>
                <w:sz w:val="13"/>
                <w:szCs w:val="13"/>
                <w:color w:val="auto"/>
              </w:rPr>
            </w:pPr>
          </w:p>
        </w:tc>
        <w:tc>
          <w:tcPr>
            <w:tcW w:w="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t</w:t>
            </w: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w w:val="92"/>
              </w:rPr>
              <w:t>sive Loss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11,757,715</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ind w:right="13"/>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11,596,261</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23,353,976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60" w:type="dxa"/>
            <w:vAlign w:val="bottom"/>
            <w:tcBorders>
              <w:top w:val="single" w:sz="8" w:color="CCEEFF"/>
            </w:tcBorders>
          </w:tcPr>
          <w:p>
            <w:pPr>
              <w:ind w:left="40"/>
              <w:spacing w:after="0" w:line="129" w:lineRule="exact"/>
              <w:rPr>
                <w:sz w:val="20"/>
                <w:szCs w:val="20"/>
                <w:color w:val="auto"/>
              </w:rPr>
            </w:pPr>
            <w:r>
              <w:rPr>
                <w:rFonts w:ascii="Times New Roman" w:cs="Times New Roman" w:eastAsia="Times New Roman" w:hAnsi="Times New Roman"/>
                <w:sz w:val="14"/>
                <w:szCs w:val="14"/>
                <w:color w:val="auto"/>
              </w:rPr>
              <w:t>Net income</w:t>
            </w: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5,476,981</w:t>
            </w:r>
          </w:p>
        </w:tc>
        <w:tc>
          <w:tcPr>
            <w:tcW w:w="220" w:type="dxa"/>
            <w:vAlign w:val="bottom"/>
            <w:tcBorders>
              <w:top w:val="single" w:sz="8" w:color="CCEEFF"/>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1,164,764</w:t>
            </w:r>
          </w:p>
        </w:tc>
        <w:tc>
          <w:tcPr>
            <w:tcW w:w="22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6,641,745</w:t>
            </w: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6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Member distributions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(2,640,321)</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(157,615)</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(2,797,936)</w:t>
            </w:r>
          </w:p>
        </w:tc>
        <w:tc>
          <w:tcPr>
            <w:tcW w:w="0" w:type="dxa"/>
            <w:vAlign w:val="bottom"/>
          </w:tcPr>
          <w:p>
            <w:pPr>
              <w:spacing w:after="0"/>
              <w:rPr>
                <w:sz w:val="1"/>
                <w:szCs w:val="1"/>
                <w:color w:val="auto"/>
              </w:rPr>
            </w:pPr>
          </w:p>
        </w:tc>
      </w:tr>
      <w:tr>
        <w:trPr>
          <w:trHeight w:val="126"/>
        </w:trPr>
        <w:tc>
          <w:tcPr>
            <w:tcW w:w="2060" w:type="dxa"/>
            <w:vAlign w:val="bottom"/>
          </w:tcPr>
          <w:p>
            <w:pPr>
              <w:ind w:left="40"/>
              <w:spacing w:after="0" w:line="126" w:lineRule="exact"/>
              <w:rPr>
                <w:sz w:val="20"/>
                <w:szCs w:val="20"/>
                <w:color w:val="auto"/>
              </w:rPr>
            </w:pPr>
            <w:r>
              <w:rPr>
                <w:rFonts w:ascii="Times New Roman" w:cs="Times New Roman" w:eastAsia="Times New Roman" w:hAnsi="Times New Roman"/>
                <w:sz w:val="14"/>
                <w:szCs w:val="14"/>
                <w:color w:val="auto"/>
              </w:rPr>
              <w:t>Rollover equity issued in business</w:t>
            </w: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2,800,000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2,800,000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6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color w:val="auto"/>
              </w:rPr>
              <w:t>combinations</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March 31, 2025</w:t>
            </w: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14,594,375</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ind w:right="13"/>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15,403,410</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29,997,785</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60" w:type="dxa"/>
            <w:vAlign w:val="bottom"/>
            <w:tcBorders>
              <w:top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74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6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December 31, 2025</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14,947,318</w:t>
            </w:r>
          </w:p>
        </w:tc>
        <w:tc>
          <w:tcPr>
            <w:tcW w:w="2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1,49</w:t>
            </w:r>
          </w:p>
        </w:tc>
        <w:tc>
          <w:tcPr>
            <w:tcW w:w="960" w:type="dxa"/>
            <w:vAlign w:val="bottom"/>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23,387,81</w:t>
            </w:r>
          </w:p>
        </w:tc>
        <w:tc>
          <w:tcPr>
            <w:tcW w:w="200" w:type="dxa"/>
            <w:vAlign w:val="bottom"/>
            <w:shd w:val="clear" w:color="auto" w:fill="CCEEFF"/>
          </w:tcPr>
          <w:p>
            <w:pPr>
              <w:spacing w:after="0"/>
              <w:rPr>
                <w:sz w:val="10"/>
                <w:szCs w:val="10"/>
                <w:color w:val="auto"/>
              </w:rPr>
            </w:pPr>
          </w:p>
        </w:tc>
        <w:tc>
          <w:tcPr>
            <w:tcW w:w="20" w:type="dxa"/>
            <w:vAlign w:val="bottom"/>
            <w:vMerge w:val="restart"/>
            <w:shd w:val="clear" w:color="auto" w:fill="CCEEFF"/>
          </w:tcPr>
          <w:p>
            <w:pPr>
              <w:spacing w:after="0"/>
              <w:rPr>
                <w:sz w:val="10"/>
                <w:szCs w:val="10"/>
                <w:color w:val="auto"/>
              </w:rPr>
            </w:pPr>
          </w:p>
        </w:tc>
        <w:tc>
          <w:tcPr>
            <w:tcW w:w="16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2,339</w:t>
            </w:r>
          </w:p>
        </w:tc>
        <w:tc>
          <w:tcPr>
            <w:tcW w:w="220" w:type="dxa"/>
            <w:vAlign w:val="bottom"/>
            <w:vMerge w:val="restart"/>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57,593,81</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863,593</w:t>
            </w:r>
          </w:p>
        </w:tc>
        <w:tc>
          <w:tcPr>
            <w:tcW w:w="30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81,076,582</w:t>
            </w:r>
          </w:p>
        </w:tc>
        <w:tc>
          <w:tcPr>
            <w:tcW w:w="2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139,537,823</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2060" w:type="dxa"/>
            <w:vAlign w:val="bottom"/>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shd w:val="clear" w:color="auto" w:fill="CCEEFF"/>
          </w:tcPr>
          <w:p>
            <w:pPr>
              <w:spacing w:after="0"/>
              <w:rPr>
                <w:sz w:val="18"/>
                <w:szCs w:val="18"/>
                <w:color w:val="auto"/>
              </w:rPr>
            </w:pPr>
          </w:p>
        </w:tc>
        <w:tc>
          <w:tcPr>
            <w:tcW w:w="2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0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60" w:type="dxa"/>
            <w:vAlign w:val="bottom"/>
            <w:tcBorders>
              <w:top w:val="single" w:sz="8" w:color="CCEEFF"/>
            </w:tcBorders>
          </w:tcPr>
          <w:p>
            <w:pPr>
              <w:ind w:left="40"/>
              <w:spacing w:after="0" w:line="129" w:lineRule="exact"/>
              <w:rPr>
                <w:sz w:val="20"/>
                <w:szCs w:val="20"/>
                <w:color w:val="auto"/>
              </w:rPr>
            </w:pPr>
            <w:r>
              <w:rPr>
                <w:rFonts w:ascii="Times New Roman" w:cs="Times New Roman" w:eastAsia="Times New Roman" w:hAnsi="Times New Roman"/>
                <w:sz w:val="14"/>
                <w:szCs w:val="14"/>
                <w:color w:val="auto"/>
              </w:rPr>
              <w:t>Net income</w:t>
            </w: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3,418,438</w:t>
            </w:r>
          </w:p>
        </w:tc>
        <w:tc>
          <w:tcPr>
            <w:tcW w:w="22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8,062,598</w:t>
            </w:r>
          </w:p>
        </w:tc>
        <w:tc>
          <w:tcPr>
            <w:tcW w:w="22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11,481,036</w:t>
            </w: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60" w:type="dxa"/>
            <w:vAlign w:val="bottom"/>
            <w:shd w:val="clear" w:color="auto" w:fill="CCEEFF"/>
          </w:tcPr>
          <w:p>
            <w:pPr>
              <w:ind w:left="40"/>
              <w:spacing w:after="0" w:line="126" w:lineRule="exact"/>
              <w:rPr>
                <w:sz w:val="20"/>
                <w:szCs w:val="20"/>
                <w:color w:val="auto"/>
              </w:rPr>
            </w:pPr>
            <w:r>
              <w:rPr>
                <w:rFonts w:ascii="Times New Roman" w:cs="Times New Roman" w:eastAsia="Times New Roman" w:hAnsi="Times New Roman"/>
                <w:sz w:val="14"/>
                <w:szCs w:val="14"/>
                <w:color w:val="auto"/>
              </w:rPr>
              <w:t>Unrealized cash flow hedge</w:t>
            </w: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6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losses, net of tax benefit of</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(158,259)</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(367,918)</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(526,177)</w:t>
            </w:r>
          </w:p>
        </w:tc>
        <w:tc>
          <w:tcPr>
            <w:tcW w:w="0" w:type="dxa"/>
            <w:vAlign w:val="bottom"/>
          </w:tcPr>
          <w:p>
            <w:pPr>
              <w:spacing w:after="0"/>
              <w:rPr>
                <w:sz w:val="1"/>
                <w:szCs w:val="1"/>
                <w:color w:val="auto"/>
              </w:rPr>
            </w:pPr>
          </w:p>
        </w:tc>
      </w:tr>
      <w:tr>
        <w:trPr>
          <w:trHeight w:val="171"/>
        </w:trPr>
        <w:tc>
          <w:tcPr>
            <w:tcW w:w="2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$45,795</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60" w:type="dxa"/>
            <w:vAlign w:val="bottom"/>
          </w:tcPr>
          <w:p>
            <w:pPr>
              <w:ind w:left="40"/>
              <w:spacing w:after="0" w:line="126" w:lineRule="exact"/>
              <w:rPr>
                <w:sz w:val="20"/>
                <w:szCs w:val="20"/>
                <w:color w:val="auto"/>
              </w:rPr>
            </w:pPr>
            <w:r>
              <w:rPr>
                <w:rFonts w:ascii="Times New Roman" w:cs="Times New Roman" w:eastAsia="Times New Roman" w:hAnsi="Times New Roman"/>
                <w:sz w:val="14"/>
                <w:szCs w:val="14"/>
                <w:color w:val="auto"/>
              </w:rPr>
              <w:t>Realized cash flow hedge losses</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6,355</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11,458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17,813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reclassified to net income</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6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Restricted stock awards, net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191,852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191,852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60" w:type="dxa"/>
            <w:vAlign w:val="bottom"/>
          </w:tcPr>
          <w:p>
            <w:pPr>
              <w:ind w:left="40"/>
              <w:spacing w:after="0" w:line="126" w:lineRule="exact"/>
              <w:rPr>
                <w:sz w:val="20"/>
                <w:szCs w:val="20"/>
                <w:color w:val="auto"/>
              </w:rPr>
            </w:pPr>
            <w:r>
              <w:rPr>
                <w:rFonts w:ascii="Times New Roman" w:cs="Times New Roman" w:eastAsia="Times New Roman" w:hAnsi="Times New Roman"/>
                <w:sz w:val="14"/>
                <w:szCs w:val="14"/>
                <w:color w:val="auto"/>
              </w:rPr>
              <w:t>Class A stock awards issued in</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consideration for ALGC</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345,666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2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8,489,522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8,489,557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Acquisition</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60" w:type="dxa"/>
            <w:vAlign w:val="bottom"/>
            <w:shd w:val="clear" w:color="auto" w:fill="CCEEFF"/>
          </w:tcPr>
          <w:p>
            <w:pPr>
              <w:ind w:left="40"/>
              <w:spacing w:after="0" w:line="126" w:lineRule="exact"/>
              <w:rPr>
                <w:sz w:val="20"/>
                <w:szCs w:val="20"/>
                <w:color w:val="auto"/>
              </w:rPr>
            </w:pPr>
            <w:r>
              <w:rPr>
                <w:rFonts w:ascii="Times New Roman" w:cs="Times New Roman" w:eastAsia="Times New Roman" w:hAnsi="Times New Roman"/>
                <w:sz w:val="14"/>
                <w:szCs w:val="14"/>
                <w:color w:val="auto"/>
              </w:rPr>
              <w:t>Class B equity issued in</w:t>
            </w: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102,809,26</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60" w:type="dxa"/>
            <w:vAlign w:val="bottom"/>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rPr>
              <w:t>consideration for ALGC</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4,186,062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102,809,682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Acquisition</w:t>
            </w: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tcBorders>
              <w:bottom w:val="single" w:sz="8" w:color="CCEEFF"/>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60" w:type="dxa"/>
            <w:vAlign w:val="bottom"/>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March 31, 2026</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15,292,984</w:t>
            </w:r>
          </w:p>
        </w:tc>
        <w:tc>
          <w:tcPr>
            <w:tcW w:w="22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1,53</w:t>
            </w:r>
          </w:p>
        </w:tc>
        <w:tc>
          <w:tcPr>
            <w:tcW w:w="96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27,573,87</w:t>
            </w:r>
          </w:p>
        </w:tc>
        <w:tc>
          <w:tcPr>
            <w:tcW w:w="200" w:type="dxa"/>
            <w:vAlign w:val="bottom"/>
          </w:tcPr>
          <w:p>
            <w:pPr>
              <w:spacing w:after="0"/>
              <w:rPr>
                <w:sz w:val="10"/>
                <w:szCs w:val="10"/>
                <w:color w:val="auto"/>
              </w:rPr>
            </w:pPr>
          </w:p>
        </w:tc>
        <w:tc>
          <w:tcPr>
            <w:tcW w:w="18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2,757</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66,275,18</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4,282,031</w:t>
            </w:r>
          </w:p>
        </w:tc>
        <w:tc>
          <w:tcPr>
            <w:tcW w:w="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(151,904)</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191,591,98</w:t>
            </w:r>
          </w:p>
        </w:tc>
        <w:tc>
          <w:tcPr>
            <w:tcW w:w="2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262,001,586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6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30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-2279650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-2262505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-2279650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-2262505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-2279650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-2262505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-2279650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-2262505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-2279650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-2262505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-2279650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-2262505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-2279650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-2262505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-2279650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-2262505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-2279650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-2262505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-2279650</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-2262505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-1782445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-1765300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-1782445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-1765300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-1782445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-1765300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-1782445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-1765300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-1782445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-1765300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-1782445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-1765300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-1782445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-1765300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-1782445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-1765300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-1782445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-1765300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-1782445</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-1765300</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-1464945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-1448435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-1464945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-1448435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-1464945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-1448435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-1464945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-1448435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-1464945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-1448435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-1464945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-1448435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-1464945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-1448435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-1464945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-1448435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-1464945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-1448435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-1464945</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-1448435</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-222250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-222250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-222250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-222250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-222250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-222250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-222250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-222250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-222250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-222250</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7280" w:type="dxa"/>
            <w:vAlign w:val="bottom"/>
          </w:tcPr>
          <w:p>
            <w:pPr>
              <w:jc w:val="center"/>
              <w:ind w:left="3890"/>
              <w:spacing w:after="0"/>
              <w:rPr>
                <w:sz w:val="20"/>
                <w:szCs w:val="20"/>
                <w:color w:val="auto"/>
              </w:rPr>
            </w:pPr>
            <w:r>
              <w:rPr>
                <w:rFonts w:ascii="Times New Roman" w:cs="Times New Roman" w:eastAsia="Times New Roman" w:hAnsi="Times New Roman"/>
                <w:sz w:val="18"/>
                <w:szCs w:val="18"/>
                <w:b w:val="1"/>
                <w:bCs w:val="1"/>
                <w:color w:val="auto"/>
                <w:w w:val="99"/>
              </w:rPr>
              <w:t>Cardinal Infrastructure Group Inc.</w:t>
            </w: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9160" w:type="dxa"/>
            <w:vAlign w:val="bottom"/>
            <w:gridSpan w:val="4"/>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7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8"/>
        </w:trPr>
        <w:tc>
          <w:tcPr>
            <w:tcW w:w="7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r>
      <w:tr>
        <w:trPr>
          <w:trHeight w:val="209"/>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11,481,036</w:t>
            </w:r>
          </w:p>
        </w:tc>
        <w:tc>
          <w:tcPr>
            <w:tcW w:w="18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6,641,745</w:t>
            </w:r>
          </w:p>
        </w:tc>
        <w:tc>
          <w:tcPr>
            <w:tcW w:w="280" w:type="dxa"/>
            <w:vAlign w:val="bottom"/>
          </w:tcPr>
          <w:p>
            <w:pPr>
              <w:spacing w:after="0"/>
              <w:rPr>
                <w:sz w:val="18"/>
                <w:szCs w:val="18"/>
                <w:color w:val="auto"/>
              </w:rPr>
            </w:pPr>
          </w:p>
        </w:tc>
      </w:tr>
      <w:tr>
        <w:trPr>
          <w:trHeight w:val="216"/>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5,702,410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5,071,341</w:t>
            </w:r>
          </w:p>
        </w:tc>
        <w:tc>
          <w:tcPr>
            <w:tcW w:w="280" w:type="dxa"/>
            <w:vAlign w:val="bottom"/>
          </w:tcPr>
          <w:p>
            <w:pPr>
              <w:spacing w:after="0"/>
              <w:rPr>
                <w:sz w:val="18"/>
                <w:szCs w:val="18"/>
                <w:color w:val="auto"/>
              </w:rPr>
            </w:pP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130,328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other intangible assets</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3,567,348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1,527,500</w:t>
            </w:r>
          </w:p>
        </w:tc>
        <w:tc>
          <w:tcPr>
            <w:tcW w:w="280" w:type="dxa"/>
            <w:vAlign w:val="bottom"/>
          </w:tcPr>
          <w:p>
            <w:pPr>
              <w:spacing w:after="0"/>
              <w:rPr>
                <w:sz w:val="18"/>
                <w:szCs w:val="18"/>
                <w:color w:val="auto"/>
              </w:rPr>
            </w:pP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(2,397)</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(110,945)</w:t>
            </w: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(Earnings) from investments in unconsolidated affiliates</w:t>
            </w: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(47,204)</w:t>
            </w: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1,031,051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16"/>
        </w:trPr>
        <w:tc>
          <w:tcPr>
            <w:tcW w:w="7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(18,417,868)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3,429,615</w:t>
            </w:r>
          </w:p>
        </w:tc>
        <w:tc>
          <w:tcPr>
            <w:tcW w:w="280" w:type="dxa"/>
            <w:vAlign w:val="bottom"/>
          </w:tcPr>
          <w:p>
            <w:pPr>
              <w:spacing w:after="0"/>
              <w:rPr>
                <w:sz w:val="18"/>
                <w:szCs w:val="18"/>
                <w:color w:val="auto"/>
              </w:rPr>
            </w:pPr>
          </w:p>
        </w:tc>
      </w:tr>
      <w:tr>
        <w:trPr>
          <w:trHeight w:val="216"/>
        </w:trPr>
        <w:tc>
          <w:tcPr>
            <w:tcW w:w="7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Contract assets</w:t>
            </w: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(19,716,683)</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(1,273,858)</w:t>
            </w:r>
          </w:p>
        </w:tc>
      </w:tr>
      <w:tr>
        <w:trPr>
          <w:trHeight w:val="216"/>
        </w:trPr>
        <w:tc>
          <w:tcPr>
            <w:tcW w:w="7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(201,690)</w:t>
            </w:r>
          </w:p>
        </w:tc>
      </w:tr>
      <w:tr>
        <w:trPr>
          <w:trHeight w:val="216"/>
        </w:trPr>
        <w:tc>
          <w:tcPr>
            <w:tcW w:w="7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249,389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(1,596,519)</w:t>
            </w:r>
          </w:p>
        </w:tc>
      </w:tr>
      <w:tr>
        <w:trPr>
          <w:trHeight w:val="216"/>
        </w:trPr>
        <w:tc>
          <w:tcPr>
            <w:tcW w:w="7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22,586,565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789,417</w:t>
            </w:r>
          </w:p>
        </w:tc>
        <w:tc>
          <w:tcPr>
            <w:tcW w:w="280" w:type="dxa"/>
            <w:vAlign w:val="bottom"/>
          </w:tcPr>
          <w:p>
            <w:pPr>
              <w:spacing w:after="0"/>
              <w:rPr>
                <w:sz w:val="18"/>
                <w:szCs w:val="18"/>
                <w:color w:val="auto"/>
              </w:rPr>
            </w:pPr>
          </w:p>
        </w:tc>
      </w:tr>
      <w:tr>
        <w:trPr>
          <w:trHeight w:val="216"/>
        </w:trPr>
        <w:tc>
          <w:tcPr>
            <w:tcW w:w="7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3,902,484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(517,531)</w:t>
            </w:r>
          </w:p>
        </w:tc>
      </w:tr>
      <w:tr>
        <w:trPr>
          <w:trHeight w:val="216"/>
        </w:trPr>
        <w:tc>
          <w:tcPr>
            <w:tcW w:w="7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Contract liabilities</w:t>
            </w:r>
          </w:p>
        </w:tc>
        <w:tc>
          <w:tcPr>
            <w:tcW w:w="36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(2,053,018)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(1,619,189)</w:t>
            </w:r>
          </w:p>
        </w:tc>
      </w:tr>
      <w:tr>
        <w:trPr>
          <w:trHeight w:val="216"/>
        </w:trPr>
        <w:tc>
          <w:tcPr>
            <w:tcW w:w="7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22,178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280" w:type="dxa"/>
            <w:vAlign w:val="bottom"/>
            <w:tcBorders>
              <w:top w:val="single" w:sz="8" w:color="CFF0FC"/>
            </w:tcBorders>
          </w:tcPr>
          <w:p>
            <w:pPr>
              <w:ind w:left="4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9,317,019</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12,092,682</w:t>
            </w:r>
          </w:p>
        </w:tc>
        <w:tc>
          <w:tcPr>
            <w:tcW w:w="280" w:type="dxa"/>
            <w:vAlign w:val="bottom"/>
            <w:tcBorders>
              <w:top w:val="single" w:sz="8" w:color="CFF0FC"/>
            </w:tcBorders>
          </w:tcPr>
          <w:p>
            <w:pPr>
              <w:spacing w:after="0"/>
              <w:rPr>
                <w:sz w:val="18"/>
                <w:szCs w:val="18"/>
                <w:color w:val="auto"/>
              </w:rPr>
            </w:pPr>
          </w:p>
        </w:tc>
      </w:tr>
      <w:tr>
        <w:trPr>
          <w:trHeight w:val="115"/>
        </w:trPr>
        <w:tc>
          <w:tcPr>
            <w:tcW w:w="728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3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3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56,214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144,011</w:t>
            </w:r>
          </w:p>
        </w:tc>
        <w:tc>
          <w:tcPr>
            <w:tcW w:w="280" w:type="dxa"/>
            <w:vAlign w:val="bottom"/>
            <w:shd w:val="clear" w:color="auto" w:fill="CFF0FC"/>
          </w:tcPr>
          <w:p>
            <w:pPr>
              <w:spacing w:after="0"/>
              <w:rPr>
                <w:sz w:val="18"/>
                <w:szCs w:val="18"/>
                <w:color w:val="auto"/>
              </w:rPr>
            </w:pP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(9,317,980)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(10,372,126)</w:t>
            </w: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(125,532,857)</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(13,992,969)</w:t>
            </w:r>
          </w:p>
        </w:tc>
      </w:tr>
      <w:tr>
        <w:trPr>
          <w:trHeight w:val="210"/>
        </w:trPr>
        <w:tc>
          <w:tcPr>
            <w:tcW w:w="7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(134,794,623)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(24,221,084)</w:t>
            </w:r>
          </w:p>
        </w:tc>
        <w:tc>
          <w:tcPr>
            <w:tcW w:w="280" w:type="dxa"/>
            <w:vAlign w:val="bottom"/>
          </w:tcPr>
          <w:p>
            <w:pPr>
              <w:spacing w:after="0"/>
              <w:rPr>
                <w:sz w:val="18"/>
                <w:szCs w:val="18"/>
                <w:color w:val="auto"/>
              </w:rPr>
            </w:pPr>
          </w:p>
        </w:tc>
      </w:tr>
      <w:tr>
        <w:trPr>
          <w:trHeight w:val="115"/>
        </w:trPr>
        <w:tc>
          <w:tcPr>
            <w:tcW w:w="728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3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3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80,000,000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21,736,705</w:t>
            </w:r>
          </w:p>
        </w:tc>
        <w:tc>
          <w:tcPr>
            <w:tcW w:w="280" w:type="dxa"/>
            <w:vAlign w:val="bottom"/>
            <w:shd w:val="clear" w:color="auto" w:fill="CFF0FC"/>
          </w:tcPr>
          <w:p>
            <w:pPr>
              <w:spacing w:after="0"/>
              <w:rPr>
                <w:sz w:val="18"/>
                <w:szCs w:val="18"/>
                <w:color w:val="auto"/>
              </w:rPr>
            </w:pP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payments on notes payable</w:t>
            </w:r>
          </w:p>
        </w:tc>
        <w:tc>
          <w:tcPr>
            <w:tcW w:w="36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(2,545,308)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(4,280,528)</w:t>
            </w: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(838,501)</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36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(538,528)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(599,006)</w:t>
            </w: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Payments of deferred consideration</w:t>
            </w: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(3,766,617)</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Member distributions</w:t>
            </w:r>
          </w:p>
        </w:tc>
        <w:tc>
          <w:tcPr>
            <w:tcW w:w="3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(2,865,337)</w:t>
            </w:r>
          </w:p>
        </w:tc>
      </w:tr>
      <w:tr>
        <w:trPr>
          <w:trHeight w:val="209"/>
        </w:trPr>
        <w:tc>
          <w:tcPr>
            <w:tcW w:w="72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72,311,046</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13,991,834</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1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change in cash</w:t>
            </w:r>
          </w:p>
        </w:tc>
        <w:tc>
          <w:tcPr>
            <w:tcW w:w="36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(53,166,558)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1,863,432</w:t>
            </w:r>
          </w:p>
        </w:tc>
        <w:tc>
          <w:tcPr>
            <w:tcW w:w="280" w:type="dxa"/>
            <w:vAlign w:val="bottom"/>
          </w:tcPr>
          <w:p>
            <w:pPr>
              <w:spacing w:after="0"/>
              <w:rPr>
                <w:sz w:val="18"/>
                <w:szCs w:val="18"/>
                <w:color w:val="auto"/>
              </w:rPr>
            </w:pPr>
          </w:p>
        </w:tc>
      </w:tr>
      <w:tr>
        <w:trPr>
          <w:trHeight w:val="216"/>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Beginning of period</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97,149,425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20,917,108</w:t>
            </w:r>
          </w:p>
        </w:tc>
        <w:tc>
          <w:tcPr>
            <w:tcW w:w="280" w:type="dxa"/>
            <w:vAlign w:val="bottom"/>
          </w:tcPr>
          <w:p>
            <w:pPr>
              <w:spacing w:after="0"/>
              <w:rPr>
                <w:sz w:val="18"/>
                <w:szCs w:val="18"/>
                <w:color w:val="auto"/>
              </w:rPr>
            </w:pPr>
          </w:p>
        </w:tc>
      </w:tr>
      <w:tr>
        <w:trPr>
          <w:trHeight w:val="250"/>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End of period</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43,982,867</w:t>
            </w:r>
          </w:p>
        </w:tc>
        <w:tc>
          <w:tcPr>
            <w:tcW w:w="18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22,780,540</w:t>
            </w:r>
          </w:p>
        </w:tc>
        <w:tc>
          <w:tcPr>
            <w:tcW w:w="280" w:type="dxa"/>
            <w:vAlign w:val="bottom"/>
            <w:shd w:val="clear" w:color="auto" w:fill="CFF0FC"/>
          </w:tcPr>
          <w:p>
            <w:pPr>
              <w:spacing w:after="0"/>
              <w:rPr>
                <w:sz w:val="21"/>
                <w:szCs w:val="21"/>
                <w:color w:val="auto"/>
              </w:rPr>
            </w:pPr>
          </w:p>
        </w:tc>
      </w:tr>
      <w:tr>
        <w:trPr>
          <w:trHeight w:val="318"/>
        </w:trPr>
        <w:tc>
          <w:tcPr>
            <w:tcW w:w="7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3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 acquired through acquisitions</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36,382,739</w:t>
            </w:r>
          </w:p>
        </w:tc>
        <w:tc>
          <w:tcPr>
            <w:tcW w:w="1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5,080,000</w:t>
            </w:r>
          </w:p>
        </w:tc>
        <w:tc>
          <w:tcPr>
            <w:tcW w:w="280" w:type="dxa"/>
            <w:vAlign w:val="bottom"/>
            <w:shd w:val="clear" w:color="auto" w:fill="CFF0FC"/>
          </w:tcPr>
          <w:p>
            <w:pPr>
              <w:spacing w:after="0"/>
              <w:rPr>
                <w:sz w:val="18"/>
                <w:szCs w:val="18"/>
                <w:color w:val="auto"/>
              </w:rPr>
            </w:pP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 financed with finance leases</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723,438</w:t>
            </w:r>
          </w:p>
        </w:tc>
        <w:tc>
          <w:tcPr>
            <w:tcW w:w="280" w:type="dxa"/>
            <w:vAlign w:val="bottom"/>
          </w:tcPr>
          <w:p>
            <w:pPr>
              <w:spacing w:after="0"/>
              <w:rPr>
                <w:sz w:val="18"/>
                <w:szCs w:val="18"/>
                <w:color w:val="auto"/>
              </w:rPr>
            </w:pP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Right-of-use assets recognized with operating leases</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11,767,913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1,495,491</w:t>
            </w:r>
          </w:p>
        </w:tc>
        <w:tc>
          <w:tcPr>
            <w:tcW w:w="280" w:type="dxa"/>
            <w:vAlign w:val="bottom"/>
            <w:shd w:val="clear" w:color="auto" w:fill="CFF0FC"/>
          </w:tcPr>
          <w:p>
            <w:pPr>
              <w:spacing w:after="0"/>
              <w:rPr>
                <w:sz w:val="18"/>
                <w:szCs w:val="18"/>
                <w:color w:val="auto"/>
              </w:rPr>
            </w:pP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Unfavorable lease fair value adjustment recognized on acquisition</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(Decrease) in accrued and unpaid member distributions</w:t>
            </w: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(67,401)</w:t>
            </w: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in deferred acquisition consideration payable</w:t>
            </w:r>
          </w:p>
        </w:tc>
        <w:tc>
          <w:tcPr>
            <w:tcW w:w="3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937,500</w:t>
            </w:r>
          </w:p>
        </w:tc>
        <w:tc>
          <w:tcPr>
            <w:tcW w:w="280" w:type="dxa"/>
            <w:vAlign w:val="bottom"/>
          </w:tcPr>
          <w:p>
            <w:pPr>
              <w:spacing w:after="0"/>
              <w:rPr>
                <w:sz w:val="18"/>
                <w:szCs w:val="18"/>
                <w:color w:val="auto"/>
              </w:rPr>
            </w:pP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Unrealized cash flow hedge losses</w:t>
            </w: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(526,177)</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 stock awards issued as consideration for acquisition</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8,489,557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Class B equity and LLC units issued as consideration for acquisition</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102,809,682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7280" w:type="dxa"/>
            <w:vAlign w:val="bottom"/>
          </w:tcPr>
          <w:p>
            <w:pPr>
              <w:jc w:val="center"/>
              <w:ind w:left="3870"/>
              <w:spacing w:after="0"/>
              <w:rPr>
                <w:sz w:val="20"/>
                <w:szCs w:val="20"/>
                <w:color w:val="auto"/>
              </w:rPr>
            </w:pPr>
            <w:r>
              <w:rPr>
                <w:rFonts w:ascii="Times New Roman" w:cs="Times New Roman" w:eastAsia="Times New Roman" w:hAnsi="Times New Roman"/>
                <w:sz w:val="18"/>
                <w:szCs w:val="18"/>
                <w:color w:val="auto"/>
                <w:w w:val="88"/>
              </w:rPr>
              <w:t>5</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763"/>
        </w:trPr>
        <w:tc>
          <w:tcPr>
            <w:tcW w:w="7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-4928235</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-4928235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-4161155</wp:posOffset>
            </wp:positionV>
            <wp:extent cx="102870"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-2969260</wp:posOffset>
            </wp:positionV>
            <wp:extent cx="102870" cy="1797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6944360</wp:posOffset>
            </wp:positionH>
            <wp:positionV relativeFrom="paragraph">
              <wp:posOffset>-2969260</wp:posOffset>
            </wp:positionV>
            <wp:extent cx="93980" cy="1797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-2245360</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-2228215</wp:posOffset>
            </wp:positionV>
            <wp:extent cx="77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-2245360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-2228215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3960" w:type="dxa"/>
            <w:vAlign w:val="bottom"/>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38"/>
        </w:trPr>
        <w:tc>
          <w:tcPr>
            <w:tcW w:w="72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Fair value of contingent consideration liabilities - Tax Benefit Agreement and Tax Receivable</w:t>
            </w:r>
          </w:p>
        </w:tc>
        <w:tc>
          <w:tcPr>
            <w:tcW w:w="17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98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280" w:type="dxa"/>
            <w:vAlign w:val="bottom"/>
            <w:vMerge w:val="continue"/>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Agreement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15,254,000</w:t>
            </w:r>
          </w:p>
        </w:tc>
        <w:tc>
          <w:tcPr>
            <w:tcW w:w="300" w:type="dxa"/>
            <w:vAlign w:val="bottom"/>
          </w:tcPr>
          <w:p>
            <w:pPr>
              <w:spacing w:after="0"/>
              <w:rPr>
                <w:sz w:val="20"/>
                <w:szCs w:val="20"/>
                <w:color w:val="auto"/>
              </w:rPr>
            </w:pPr>
          </w:p>
        </w:tc>
        <w:tc>
          <w:tcPr>
            <w:tcW w:w="1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Rollover equity issued as consideration for acquisitions</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2,800,000</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28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6</w:t>
            </w: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2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35" w:lineRule="exact"/>
        <w:rPr>
          <w:sz w:val="20"/>
          <w:szCs w:val="20"/>
          <w:color w:val="auto"/>
        </w:rPr>
      </w:pPr>
    </w:p>
    <w:p>
      <w:pPr>
        <w:ind w:right="7860" w:firstLine="8"/>
        <w:spacing w:after="0" w:line="377"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Business Business Operations</w:t>
      </w:r>
    </w:p>
    <w:p>
      <w:pPr>
        <w:spacing w:after="0" w:line="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Cardinal Infrastructure Group Inc. (“PubCo,” the “Company,” or “Cardinal Group”) is a Delaware corporation formed on June 12, 2025, for the purpose of facilitating an initial public offering (the “IPO”) and related organizational transactions in order to acquire an investment in Cardinal Civil Contracting Holdings LLC (“Cardinal” or "OpCo"). Cardinal Group is a holding company with no direct operations whose principal asset is its equity interest in Cardinal, acquired in connection with the IPO.</w:t>
      </w:r>
    </w:p>
    <w:p>
      <w:pPr>
        <w:spacing w:after="0" w:line="11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Cardinal is a Delaware limited liability company formed on September 16, 2025, whose primary asset is its 100% ownership interest in Cardinal Civil Contracting, LLC (“Cardinal NC”), a North Carolina limited liability company organized on January 16, 2013 that conducts all operations of the Company through its wholly owned subsidiaries.</w:t>
      </w:r>
    </w:p>
    <w:p>
      <w:pPr>
        <w:spacing w:after="0" w:line="9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is a leading provider of site development and infrastructure services in the southeastern United States. The Company serves residential, commercial and municipal end markets and operates primarily in North Carolina and surrounding regions.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 Structure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organizational structure following the IPO is commonly referred to as an umbrella partnership–C corporation (“Up-C”) structure, which is often used by partnerships and limited liability companies undertaking an initial public offering. The Up-C structure allows the Continuing Equity Holders (as defined below) to retain their equity ownership in Cardinal, an entity treated as a partnership for U.S. federal income tax purposes, and to continue to realize tax benefits associated with owning interests in a flow-through entity. Investors in the Company hold their equity ownership through shares of Class A Common Stock of PubCo, a Delaware corporation subject to corporate-level taxation.</w:t>
      </w:r>
    </w:p>
    <w:p>
      <w:pPr>
        <w:spacing w:after="0" w:line="10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the sole managing member of Cardinal, the Company operates and controls all of the business and affairs of Cardinal and, through Cardinal and its subsidiaries, conducts all of the Company’s business. Accordingly, the Company consolidates the financial results of Cardinal and reports the economic interests in Cardinal held by the Continuing Equity Holders as noncontrolling interests in the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14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December 11, 2025, the Company completed its IPO of 11,500,000 shares of Class A Common Stock, par value $0.0001 per share, at a price to the public of $21.00 per share. On December 12, 2025, pursuant to the exercise in full of the underwriters’ option to purchase additional shares, the Company completed the sale of an additional 1,725,000 shares of Class A Common Stock at the IPO price. Gross proceeds from the IPO, including the overallotment, were approximately $277.7 million before deducting underwriting discounts and other offering costs.</w:t>
      </w:r>
    </w:p>
    <w:p>
      <w:pPr>
        <w:spacing w:after="0" w:line="11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used the net proceeds from the IPO to purchase 14,943,750 newly issued LLC units from Cardinal for net payment of approximately $252.3 million in the aggregate and became the sole managing member of Cardinal. Cardinal in turn used $157.5 million of the net proceeds to exchange and redeem 7,500,000 LLC units of Cardinal certain equity holders of Cardinal (the “Continuing Equity Holders”) and repay approximately $24.3 million of borrowings outstanding under our October 2025 Credit Facility. In connection with the IPO, the Company also issued 23,387,813 shares of Class B Common Stock to the Continuing Equity Holders, which was equal to the number of LLC units held by such Continuing Equity Holders at the time of issuance, for nominal consideration.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Reorganization Transactions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Prior to the IPO, all of the Company’s business was conducted through Cardinal NC. In connection with the IPO, the Company completed a series of organizational transactions (the “Reorganization Transactions”) to reorganize its corporate structure. The IPO and the Reorganization Transactions are collectively referred to herein as the “Transactions.” The Reorganization Transactions consisted of two discrete transactions, the “September 2025 Reorganization” and the “IPO Reorganization,” which are each described below.</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2025 Reorganization</w:t>
      </w:r>
    </w:p>
    <w:p>
      <w:pPr>
        <w:spacing w:after="0" w:line="10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Effective September 30, 2025, the Company completed the first step of the Reorganization Transactions (the “September 2025 Reorganization”). The Company merged newly formed merger subsidiaries of Cardinal NC with and into each of Cardinal NC’s non-wholly owned subsidiaries so that the minority equity holders of such non-wholly owned subsidiaries became equity holders of Cardinal and such non-wholly owned subsidiaries became wholly owned subsidiaries of Cardinal NC. Subsequently, a newly formed merger subsidiary of Cardinal was merged with and into Cardinal NC so that the members of Cardinal NC became members of Cardinal and Cardinal NC became a wholly owned subsidiary of Cardinal.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9" w:name="page10"/>
    <w:bookmarkEnd w:id="9"/>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As a result of the September 2025 Reorganization, the existing ownership interests of Cardinal NC were recapitalized from multiple classes (Class A, B and C units) into a single common class of LLC units. The minority equity holders of the non-wholly owned subsidiaries received newly issued LLC units in Cardinal in exchange for their subsidiary-level interests, which were cancelled. In the accompanying consolidated statement of changes in equity, the September 2025 Reorganization is reflected as: (i) the reclassification of the carrying amounts of previously reported noncontrolling interests in subsidiaries to members’ equity, and (ii) the recapitalization of the existing unit classes into a single class of LLC units, with no change in the total carrying amount of equity.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IPO Reorganization</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December 10, 2025, immediately prior to and in connection with the closing of the IPO, the Company completed the second step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Reorganization Transactions (the “IPO Reorganization”). The IPO Reorganization consisted of the following:</w:t>
      </w:r>
    </w:p>
    <w:p>
      <w:pPr>
        <w:spacing w:after="0" w:line="99" w:lineRule="exact"/>
        <w:rPr>
          <w:sz w:val="20"/>
          <w:szCs w:val="20"/>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amended and restated the Cardinal operating agreement to, among other things, (i) recapitalize all existing ownership interests, (ii) appoint Cardinal Infrastructure Group Inc. as the sole managing member of Cardinal upon its acquisition of LLC units in connection with the IPO, and (iii) provide certain redemption rights to the Continuing Equity Holders.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Cardinal Infrastructure Group Inc. amended and restated its certificate of incorporation to, among other things, (i) reclassify all outstanding shares of common stock into 1,718,750 shares of Class A Common Stock, as adjusted for an approximately 86-to-one forward stock split, (ii) provide for Class A Common Stock and Class B Common Stock, each entitling the holder to one vote per share on all matters presented to stockholders, (iii) provide that shares of Class B Common Stock may only be held by the Continuing Equity Holders and their permitted transferees, and (iv) authorize 10,000,000 shares of preferred stock, par value $0.0001 per share, issuable by the Board of Directors in one or more series without stockholder approval.</w:t>
      </w:r>
    </w:p>
    <w:p>
      <w:pPr>
        <w:spacing w:after="0" w:line="79"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Cardinal Infrastructure Group Inc. acquired newly issued LLC units from Cardinal using the net proceeds of the IPO and became the sole managing member of Cardinal.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Cardinal Infrastructure Group Inc. issued 23,387,813 shares of Class B Common Stock to the Continuing Equity Holders, on a one-for-one basis with their LLC units, for nominal consideration.</w:t>
      </w:r>
    </w:p>
    <w:p>
      <w:pPr>
        <w:spacing w:after="0" w:line="27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accompanying condensed consolidated statements of changes in stockholders'/members' equity, the IPO Reorganization is reflected as: (i) the conversion of members’ equity to the recapitalized equity structure of Cardinal Infrastructure Group Inc. (Class A Common Stock, Class B Common Stock, and additional paid-in capital), (ii) the receipt of net IPO proceeds in exchange for newly issued LLC units, (iii) the recognition of noncontrolling interests representing the Continuing Equity Holders’ 61.0% economic interest in Cardinal, and (iv) the establishment of Cardinal Infrastructure Group Inc. as a reporting entity with the accompanying reclassification of the predecessor equity accounts.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Both the September 2025 Reorganization and the IPO Reorganization are accounted for as transactions among entities under common control. As Cardinal Infrastructure Group Inc. had no substantive operations prior to the IPO and the Continuing Equity Holders retained their majority economic interest (61.0%) in Cardinal, the Transactions are treated as a recapitalization rather than a business combination.</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September 2025 Reorganization, in which the pre-existing minority equity holders of Cardinal NC’s non-wholly owned subsidiaries exchanged their subsidiary-level interests for LLC units of Cardinal, was accounted for as an acquisition of noncontrolling interests in accordance with Accounting Standards Codification ("ASC") 810-10-45-23, with the carrying amounts of noncontrolling interests reclassified to members’ equity with no gain or loss recognized.</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IPO Reorganization, in which Cardinal Infrastructure Group Inc. became the sole managing member of Cardinal and completed the IPO, was accounted for as a recapitalization of the predecessor operating entity. The accompanying consolidated financial statements represent a continuation of the historical financial statements of Cardinal, with the exception of the recapitalized equity structure. Comparative information for periods prior to the Transactions reflects the historical financial statements of Cardinal.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Accounting</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accounting principles generally accepted in the United States of America (“GAAP”). The unaudited interim condensed consolidated financial statements include the results of the Company and its wholly owned or controlled subsidiaries. All significant intercompany transactions and balances have been eliminated during consolidation. In the opinion of management, the</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condensed consolidated financial statements reflect all adjustments, which are necessary for the fair presentation of the financial condition, and results of operations for the interim periods presented.</w:t>
      </w:r>
    </w:p>
    <w:p>
      <w:pPr>
        <w:spacing w:after="0" w:line="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were prepared in accordance with the requirements for interim financial information. Accordingly, these interim financial statements have not been audited and exclude certain disclosures required for annual financial statements. We have historically experienced, and in the future expect to continue to experience, variability in our results on a quarterly basis. Due to the seasonality of the Company's businesses, the operating results presented for interim periods are not necessarily indicative of the results that may be expected for any other interim period or for the entire year. These interim financial statements should be read in conjunction with the audited consolidated financial statements of the Company included in the Company’s Annual Report on Form 10-K for the year ended December 31, 2025.</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Provisions</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Company evaluates its contracts monthly for potential losses, which considers job performance, site conditions, estimated profitability, and associated claims and change orders. If total estimated costs exceed total expected revenue, the Company records a provision for the full estimated loss in the period the loss is determined. As of March 31, 2026 and December 31, 2025, the Company held an allowance for loss contracts of $20,961 and $135,647 respectively. These provisions are recorded to “Cost of revenues” on the consolidated statements of operations and “Contract liabilities” on the consolidated balance sheets.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Company occasionally maintains deposits in excess of federally insured limits. These are identified as a concentration of credit risk requiring disclosure, regardless of the degree of risk. The risk is managed by maintaining all deposits in high quality financial institutions. The Federal Deposit Insurance Corporation insures up to $250,000 for all accounts held at a single institution. As of March 31, 2026, and December 31, 2025, the Company had not experienced any losses on these accounts. Any loss incurred or a lack of access to such funds could have a significant adverse impact on the Company's financial condition, results of operations, and cash flows.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Accounts receivable primarily consist of trade receivables due from customers and are stated at the invoiced amount less an allowance for credit losses. Collectability is evaluated using a combination of factors, including past due status based on contractual terms, trends in write-offs and the age of the receivable. Specific events, such as bankruptcies, are also considered when applicable. Adjustments to the reserve for credit losses are made when necessary based on the results of analysis, the aging of receivables and historical and industry trends. The Company periodically evaluates the impact of observable external factors on the collectability of the accounts receivable to determine if adjustments to the reserve for credit losses should be made based on current conditions or reasonable and supportable forecasts. Accounts receivable are written off in the period in which the receivable is deemed uncollectible. Credit related reserves are not material. At March 31, 2026, and December 31, 2025, the Company's allowance for estimated expected credit losses was zero. The opening balance of Accounts receivable, net at January 1, 2025 was $38,304,817.</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Estimate - Property and Equipment Depreciation Method</w:t>
      </w:r>
    </w:p>
    <w:p>
      <w:pPr>
        <w:spacing w:after="0" w:line="22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During the first quarter of 2026, the Company completed a review of its accounting policy for property and equipment depreciated on an accelerated basis. As a result of this review, the Company changed its accounting method for property and equipment from the accelerated basis of depreciation to the straight-line method of depreciation, effective as of January 1, 2026. The Company believes the change from the accelerated method to the straight-line method of depreciation is preferable under U.S. GAAP as it will result in an estimate of depreciation expense which more accurately reflects the pattern of usage and the expected benefits of such assets. Additionally, the change to the straight-line method of depreciation is consistent with the depreciation method applied by other companies within the Company's industry, and improves the comparability of our results to our competitors. Our change in the method of depreciation is considered a change in accounting estimate effected by a change in accounting principle and has been applied prospectively.</w:t>
      </w:r>
    </w:p>
    <w:p>
      <w:pPr>
        <w:spacing w:after="0" w:line="8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effect of the change on the three months ended March 31, 2026 was a decrease in depreciation expense of approximately $581,223 and a corresponding increase in income before income taxes of approximately $581,223, compared to what would have been reported under the accelerated method. The effect on net income and earnings per diluted share was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approximately $459,166 and $0.03 for the three months ended March 31, 2026. The fixed assets will be depreciated over their estimated remaining useful lives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 Group</w:t>
            </w:r>
          </w:p>
        </w:tc>
        <w:tc>
          <w:tcPr>
            <w:tcW w:w="460" w:type="dxa"/>
            <w:vAlign w:val="bottom"/>
          </w:tcPr>
          <w:p>
            <w:pPr>
              <w:spacing w:after="0"/>
              <w:rPr>
                <w:sz w:val="20"/>
                <w:szCs w:val="20"/>
                <w:color w:val="auto"/>
              </w:rPr>
            </w:pP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Useful Lives</w:t>
            </w: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 and computers</w:t>
            </w:r>
          </w:p>
        </w:tc>
        <w:tc>
          <w:tcPr>
            <w:tcW w:w="46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3-5 years</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Vehicles and trailers</w:t>
            </w:r>
          </w:p>
        </w:tc>
        <w:tc>
          <w:tcPr>
            <w:tcW w:w="4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46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5-7 years</w:t>
            </w: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6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15 years</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Company’s chief operating decision maker (“CODM”) is its Chief Executive Officer. The CODM manages the business activities on a consolidated basis and as such the Company determined it is a single reportable segment. Except for to the acquisition of ALGC which performs construction projects within Georgia, the Company derives revenue in the United States of America from construction projects based in North Carolina and South Carolina in 2026.</w:t>
      </w:r>
    </w:p>
    <w:p>
      <w:pPr>
        <w:spacing w:after="0" w:line="72"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CODM primarily assesses performance for the Company and decides how to allocate resources based on net income. Net income is reported on the condensed consolidated statements of operations. Performance is continuously monitored at the consolidated level and as necessary at the project contract level to timely identify deviations from the expected results. Resource allocation is based on the CODM and Company management's estimates of growth to expand backlog and to increase production capacity to ensure timely execution of committed sales contracts. The significant expenses reviewed by the CODM, which are used to assess performance of the Company, are not disaggregated at a level lower than the captions disclosed within the condensed consolidated statements of operations.</w:t>
      </w:r>
    </w:p>
    <w:p>
      <w:pPr>
        <w:spacing w:after="0" w:line="7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CODM also uses net income and related profit margins in competitive analysis by benchmarking to the Company’s competitors. The competitive analysis along with the monitoring of budgeted versus actual results are used in assessing performance of the Company and in establishing management’s compensation.</w:t>
      </w:r>
    </w:p>
    <w:p>
      <w:pPr>
        <w:spacing w:after="0" w:line="6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to the CODM on the balance sheet as total consolidated assets, with the same captions as the condensed consolidated balance sheets. All of the Company's long-lived assets are based in its home country, the United States of America.</w:t>
      </w:r>
    </w:p>
    <w:p>
      <w:pPr>
        <w:spacing w:after="0" w:line="50" w:lineRule="exact"/>
        <w:rPr>
          <w:sz w:val="20"/>
          <w:szCs w:val="20"/>
          <w:color w:val="auto"/>
        </w:rPr>
      </w:pPr>
    </w:p>
    <w:p>
      <w:pPr>
        <w:jc w:val="both"/>
        <w:ind w:firstLine="449"/>
        <w:spacing w:after="0" w:line="268"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recognized revenue from Customer A that comprised 13% and 11%</w:t>
      </w:r>
      <w:r>
        <w:rPr>
          <w:rFonts w:ascii="Arial" w:cs="Arial" w:eastAsia="Arial" w:hAnsi="Arial"/>
          <w:sz w:val="19"/>
          <w:szCs w:val="19"/>
          <w:color w:val="242424"/>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respectively, </w:t>
      </w:r>
      <w:r>
        <w:rPr>
          <w:rFonts w:ascii="Times New Roman" w:cs="Times New Roman" w:eastAsia="Times New Roman" w:hAnsi="Times New Roman"/>
          <w:sz w:val="18"/>
          <w:szCs w:val="18"/>
          <w:color w:val="000000"/>
        </w:rPr>
        <w:t>of consolidated Company revenue, and the Company's revenue with that customer was comprised of multiple projects with work performed</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throughout the year.</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 determines fair value based upon the price that would be received to sell an asset or paid to transfer a liability in an orderly transaction between market participants at the measurement date, as determined by either the principal market or the most advantageous market in which it transacts. The Company applies fair value accounting for all the financial assets and liabilities that are recognized or disclosed at fair value in the condensed consolidated financial statements on a recurring basis. 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7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Level 1 – Observable inputs such as unadjusted, quoted prices in active markets for identical assets or liabilities at the measurement date;</w:t>
      </w:r>
    </w:p>
    <w:p>
      <w:pPr>
        <w:spacing w:after="0" w:line="117" w:lineRule="exact"/>
        <w:rPr>
          <w:sz w:val="20"/>
          <w:szCs w:val="20"/>
          <w:color w:val="auto"/>
        </w:rPr>
      </w:pPr>
    </w:p>
    <w:p>
      <w:pPr>
        <w:jc w:val="both"/>
        <w:ind w:left="520" w:firstLine="449"/>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68" w:lineRule="exact"/>
        <w:rPr>
          <w:sz w:val="20"/>
          <w:szCs w:val="20"/>
          <w:color w:val="auto"/>
        </w:rPr>
      </w:pPr>
    </w:p>
    <w:p>
      <w:pPr>
        <w:jc w:val="both"/>
        <w:ind w:left="520" w:firstLine="449"/>
        <w:spacing w:after="0" w:line="266"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 These inputs are based on the Company’s own assumptions about current market conditions and require significant management judgment or estimation.</w:t>
      </w:r>
    </w:p>
    <w:p>
      <w:pPr>
        <w:spacing w:after="0" w:line="68"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As of March 31, 2026, March 31, 2025, and December 31, 2025, the carrying value of cash, accounts receivable, accounts payable, accrued liabilities, and other current assets and liabilities approximates fair value due to the short maturities of these instruments. The fair value of notes payable approximates its carrying value as the stated interest rate reflects recent market conditions for similar instruments. Certain assets, including goodwill and other long-lived assets, are also subject to measurement at fair value on a nonrecurring basis if they are deemed to be impaired as a result of an impairment review.</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As discussed in Note 3, the Company’s February 2026 Acquisition of ALGC resulted in the recognition of certain assets measured at fair value in accordance with ASC 820. Property, plant and equipment were valued using Level 2 inputs under the fair value hierarchy, based on observable market data for similar assets with adjustments for condition and location. The backlog intangible asset was valued using Level 3 inputs, which incorporate significant unobservable assumptions developed by management. Contingent Consideration was valued utilizing Level 3 inputs, which incorporate significant unobservable assumptions developed by management. The valuation techniques, key assumptions, and sensitivity analyses for Level 3 measurements are described in Note 3. The fair value of cash flow hedges are valued utilizing Level 2 inputs, which incorporate observable market inputs, including the SOFR forward curve. The valuation techniques, key assumptions, for Level 2 measurements are described in Note 7.</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Derivative Financial Instruments The Company may enter into interest rate derivatives to manage exposure to interest rate risks. The Company does not use derivative financial instruments for trading or speculative purposes. The Company recognizes derivative financial instruments at fair value and presents them within other assets and liabilities in the condensed consolidated balance sheets. Gains and losses from derivatives that are neither designated nor qualify as hedging instruments are recognized within the change in fair value of derivatives and other caption in the condensed consolidated statements of comprehensive income. For derivatives that qualify as cash flow hedges, the gain or loss is reported as a component of other comprehensive income (loss) and reclassified into earnings in the periods during which the hedged forecasted transaction affects earnings. Refer to Note 7 'Notes Payable &amp; Credit Facility' for further information.</w:t>
      </w:r>
    </w:p>
    <w:p>
      <w:pPr>
        <w:spacing w:after="0" w:line="8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Cash flows for derivative financial instruments are classified as cash flows from operating activities within the condensed consolidated statements of cash flows, unless there is an other-than-insignificant financing element present at inception of the derivative financial instrument. For derivatives with an other-than-insignificant financing element at inception due to off-market terms, cash flows are classified as cash flows from investing or financing activities within the condensed consolidated statements of cash flows depending on the derivative's off-market nature at inception.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80" w:lineRule="exact"/>
        <w:rPr>
          <w:sz w:val="20"/>
          <w:szCs w:val="20"/>
          <w:color w:val="auto"/>
        </w:rPr>
      </w:pPr>
    </w:p>
    <w:p>
      <w:pPr>
        <w:jc w:val="both"/>
        <w:ind w:firstLine="449"/>
        <w:spacing w:after="0" w:line="231" w:lineRule="exact"/>
        <w:rPr>
          <w:sz w:val="20"/>
          <w:szCs w:val="20"/>
          <w:color w:val="auto"/>
        </w:rPr>
      </w:pPr>
      <w:r>
        <w:rPr>
          <w:rFonts w:ascii="Times New Roman" w:cs="Times New Roman" w:eastAsia="Times New Roman" w:hAnsi="Times New Roman"/>
          <w:sz w:val="18"/>
          <w:szCs w:val="18"/>
          <w:color w:val="auto"/>
        </w:rPr>
        <w:t>The Company issues various forms of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to employees, directors, and other service providers, including (i) legacy Profit Interest Units (“PIUs”) granted prior to the Company’s IPO and Up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reorganization, (ii) certain unrestricted legacy units issued in connection with the Company’s historical LLC structure and the reorganization transactions completed in connection with the IPO, and (iii) Restricted Stock Units (“RSUs”) granted under the Company’s 2025 Equity Incentive Plan.</w:t>
      </w:r>
    </w:p>
    <w:p>
      <w:pPr>
        <w:spacing w:after="0" w:line="92" w:lineRule="exact"/>
        <w:rPr>
          <w:sz w:val="20"/>
          <w:szCs w:val="20"/>
          <w:color w:val="auto"/>
        </w:rPr>
      </w:pPr>
    </w:p>
    <w:p>
      <w:pPr>
        <w:jc w:val="both"/>
        <w:ind w:firstLine="449"/>
        <w:spacing w:after="0" w:line="220" w:lineRule="exact"/>
        <w:rPr>
          <w:sz w:val="20"/>
          <w:szCs w:val="20"/>
          <w:color w:val="auto"/>
        </w:rPr>
      </w:pPr>
      <w:r>
        <w:rPr>
          <w:rFonts w:ascii="Times New Roman" w:cs="Times New Roman" w:eastAsia="Times New Roman" w:hAnsi="Times New Roman"/>
          <w:sz w:val="18"/>
          <w:szCs w:val="18"/>
          <w:color w:val="auto"/>
        </w:rPr>
        <w:t>The Company measures and recognizes the cost of employee services received in exchange for awards of equity instruments in accordance with ASC 718, Compensation - Stock Compensation.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classified awards are measured at grant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 fair value and recognized as compensation expense over the requisite service period. Liability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classified awards, if any, are remeasured at fair value at each reporting date until settlement. Compensation expense is recorded within General and administrative expenses in the condensed consolidated statements of operations</w:t>
      </w:r>
    </w:p>
    <w:p>
      <w:pPr>
        <w:spacing w:after="0" w:line="92"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PIUs in CCC and certain subsidiaries have been granted to certain employees of the Company. As the requirement to remain employed for the necessary service period and the performance vesting criteria are based on the performance of the Company, the Company has pushed down the related compensation expense. In accounting for stock-based compensation awards, the Company measures and recognizes the cost of employee services received in exchange for awards of equity instruments based on the grant date fair value of those awards. Compensation expense for time-vesting awards is recognized ratably using the straight-line attribution method over the vesting period, which is considered to be the requisite service period and will be accelerated upon a change in control. For compensation expense for awards with performance vesting criteria, no compensation expense has been recognized as the vesting criteria is not viewed as probable.</w:t>
      </w:r>
    </w:p>
    <w:p>
      <w:pPr>
        <w:spacing w:after="0" w:line="40" w:lineRule="exact"/>
        <w:rPr>
          <w:sz w:val="20"/>
          <w:szCs w:val="20"/>
          <w:color w:val="auto"/>
        </w:rPr>
      </w:pPr>
    </w:p>
    <w:p>
      <w:pPr>
        <w:jc w:val="both"/>
        <w:ind w:firstLine="449"/>
        <w:spacing w:after="0" w:line="231" w:lineRule="exact"/>
        <w:rPr>
          <w:sz w:val="20"/>
          <w:szCs w:val="20"/>
          <w:color w:val="auto"/>
        </w:rPr>
      </w:pPr>
      <w:r>
        <w:rPr>
          <w:rFonts w:ascii="Times New Roman" w:cs="Times New Roman" w:eastAsia="Times New Roman" w:hAnsi="Times New Roman"/>
          <w:sz w:val="18"/>
          <w:szCs w:val="18"/>
          <w:color w:val="auto"/>
        </w:rPr>
        <w:t>In connection with the Company’s historical LLC structure and the Up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reorganization completed at the IPO, certain employees and service providers received unrestricted units that were fully vested upon issuance. These awards are accounted for as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classified awards. Because the units were fully vested and nonforfeitable at the grant date, the Company recognized compensation expense, if any, on the grant date. No additional compensation expense is recognized for these awards.</w:t>
      </w:r>
    </w:p>
    <w:p>
      <w:pPr>
        <w:spacing w:after="0" w:line="92" w:lineRule="exact"/>
        <w:rPr>
          <w:sz w:val="20"/>
          <w:szCs w:val="20"/>
          <w:color w:val="auto"/>
        </w:rPr>
      </w:pPr>
    </w:p>
    <w:p>
      <w:pPr>
        <w:jc w:val="both"/>
        <w:ind w:firstLine="449"/>
        <w:spacing w:after="0" w:line="219" w:lineRule="exact"/>
        <w:rPr>
          <w:sz w:val="20"/>
          <w:szCs w:val="20"/>
          <w:color w:val="auto"/>
        </w:rPr>
      </w:pPr>
      <w:r>
        <w:rPr>
          <w:rFonts w:ascii="Times New Roman" w:cs="Times New Roman" w:eastAsia="Times New Roman" w:hAnsi="Times New Roman"/>
          <w:sz w:val="18"/>
          <w:szCs w:val="18"/>
          <w:color w:val="auto"/>
        </w:rPr>
        <w:t>Effective upon the IPO, the Company granted RSUs to members of its Board of Directors as part of annual director compensation, with vesting terms that vary by award. In connection with the IPO, non-employee directors received two grants in lieu of a pro-rated annual cash retainer: one that vested on December 31, 2025, and one that vests on December 31, 2026. In addition, RSUs granted in lieu of the 2026 annual cash retainers vest in equal quarterly installments through December 31, 2026. These awards are accounted for under ASC 718 using the same grant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 fair value measurement and recognition principles as employee awards. For awards with graded-vesting features and only service conditions the Company attribute expenses using the straight-line method.</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jc w:val="both"/>
        <w:ind w:firstLine="449"/>
        <w:spacing w:after="0" w:line="239" w:lineRule="exact"/>
        <w:rPr>
          <w:sz w:val="20"/>
          <w:szCs w:val="20"/>
          <w:color w:val="auto"/>
        </w:rPr>
      </w:pPr>
      <w:r>
        <w:rPr>
          <w:rFonts w:ascii="Times New Roman" w:cs="Times New Roman" w:eastAsia="Times New Roman" w:hAnsi="Times New Roman"/>
          <w:sz w:val="18"/>
          <w:szCs w:val="18"/>
          <w:color w:val="auto"/>
        </w:rPr>
        <w:t>The Company has elected to account for forfeitures as they occur for all its equity-based awards and therefore does not estimate expected forfeitures when measuring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p>
      <w:pPr>
        <w:spacing w:after="0" w:line="22" w:lineRule="exact"/>
        <w:rPr>
          <w:sz w:val="20"/>
          <w:szCs w:val="20"/>
          <w:color w:val="auto"/>
        </w:rPr>
      </w:pPr>
    </w:p>
    <w:p>
      <w:pPr>
        <w:jc w:val="both"/>
        <w:ind w:right="20" w:firstLine="449"/>
        <w:spacing w:after="0" w:line="245" w:lineRule="exact"/>
        <w:rPr>
          <w:sz w:val="20"/>
          <w:szCs w:val="20"/>
          <w:color w:val="auto"/>
        </w:rPr>
      </w:pPr>
      <w:r>
        <w:rPr>
          <w:rFonts w:ascii="Times New Roman" w:cs="Times New Roman" w:eastAsia="Times New Roman" w:hAnsi="Times New Roman"/>
          <w:sz w:val="18"/>
          <w:szCs w:val="18"/>
          <w:color w:val="auto"/>
        </w:rPr>
        <w:t>Grant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 fair value for RSUs is based on the market price of the Company’s Class A common stock on the date of grant. Grant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 fair value for PIUs and other legacy awards is determined using valuation techniques as described within Note 11.</w:t>
      </w:r>
    </w:p>
    <w:p>
      <w:pPr>
        <w:spacing w:after="0" w:line="9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Class A Common Stock issued as consideration in a business combination is valued at the closing share price on the acquisition date. Shares issued at the direction of selling shareholders to settle existing arrangements with the recipients are treated as consideration transferred rather than post-combination compensation expense. Refer to Note 3 and Note 11.</w:t>
      </w:r>
    </w:p>
    <w:p>
      <w:pPr>
        <w:spacing w:after="0" w:line="27" w:lineRule="exact"/>
        <w:rPr>
          <w:sz w:val="20"/>
          <w:szCs w:val="20"/>
          <w:color w:val="auto"/>
        </w:rPr>
      </w:pPr>
    </w:p>
    <w:p>
      <w:pPr>
        <w:jc w:val="both"/>
        <w:ind w:firstLine="449"/>
        <w:spacing w:after="0" w:line="231" w:lineRule="exact"/>
        <w:rPr>
          <w:sz w:val="20"/>
          <w:szCs w:val="20"/>
          <w:color w:val="auto"/>
        </w:rPr>
      </w:pPr>
      <w:r>
        <w:rPr>
          <w:rFonts w:ascii="Times New Roman" w:cs="Times New Roman" w:eastAsia="Times New Roman" w:hAnsi="Times New Roman"/>
          <w:sz w:val="18"/>
          <w:szCs w:val="18"/>
          <w:color w:val="auto"/>
        </w:rPr>
        <w:t>For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classified awards, deferred tax assets are recognized for deductible temporary differences arising from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and are reduced by a valuation allowance if it is more likely than not that the deferred tax assets will not be realized. Excess tax benefits or deficiencies, if any, are recognized in income tax expense in the period in which they occur. Prior to the IPO, PIUs and other partnership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classified awards generally did not give rise to deferred tax assets.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Accounting Policies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See the Company's Annual Report on Form 10-K for the year ended December 31, 2025 (the “2025 Form 10-K”) for a description of other accounting principles upon which basis the accompanying condensed consolidated financial statements were prepared.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80" w:lineRule="exact"/>
        <w:rPr>
          <w:sz w:val="20"/>
          <w:szCs w:val="20"/>
          <w:color w:val="auto"/>
        </w:rPr>
      </w:pPr>
    </w:p>
    <w:p>
      <w:pPr>
        <w:jc w:val="both"/>
        <w:ind w:firstLine="449"/>
        <w:spacing w:after="0" w:line="226" w:lineRule="exact"/>
        <w:rPr>
          <w:sz w:val="20"/>
          <w:szCs w:val="20"/>
          <w:color w:val="auto"/>
        </w:rPr>
      </w:pPr>
      <w:r>
        <w:rPr>
          <w:rFonts w:ascii="Times New Roman" w:cs="Times New Roman" w:eastAsia="Times New Roman" w:hAnsi="Times New Roman"/>
          <w:sz w:val="18"/>
          <w:szCs w:val="18"/>
          <w:color w:val="auto"/>
        </w:rPr>
        <w:t>In July 2025, the Financial Accounting Standards Board ("FASB") issued Accounting Standards Update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“Financial Instruments – Credit Losses (Topic 326): Measurement of Credit Losses for Accounts Receivable and Contract Assets”, which provides a practical expedient for measuring expected credit losses on certain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receivables and contract assets when credit losses are expected to be insignificant. The amendments are intended to simplify application of Topic 326 for entities with immaterial credit risk exposure on these balances.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is effective for fiscal years, including interim periods, beginning after December 15, 2025. Early adoption is permitted. There is no material impact on the condensed consolidated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 Not Yet Adopted</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(“ASU 2023-06”), to clarify or improve disclosure and presentation requirements of a variety of topics and align the requirements in the FASB ASC with the SEC’s regulations. The amendments in ASU 2023-06 will become effective on the date the related disclosures are removed from Regulation S-X or Regulation S-K by the SEC, and will no longer be effective if the SEC has not removed the applicable disclosure requirement by June 30, 2027. Early adoption is prohibited and is not expected to have a material impact on our condensed consolidated financial statements.</w:t>
      </w:r>
    </w:p>
    <w:p>
      <w:pPr>
        <w:spacing w:after="0" w:line="75" w:lineRule="exact"/>
        <w:rPr>
          <w:sz w:val="20"/>
          <w:szCs w:val="20"/>
          <w:color w:val="auto"/>
        </w:rPr>
      </w:pPr>
    </w:p>
    <w:p>
      <w:pPr>
        <w:jc w:val="both"/>
        <w:ind w:firstLine="449"/>
        <w:spacing w:after="0" w:line="219" w:lineRule="exact"/>
        <w:rPr>
          <w:sz w:val="20"/>
          <w:szCs w:val="20"/>
          <w:color w:val="auto"/>
        </w:rPr>
      </w:pPr>
      <w:r>
        <w:rPr>
          <w:rFonts w:ascii="Times New Roman" w:cs="Times New Roman" w:eastAsia="Times New Roman" w:hAnsi="Times New Roman"/>
          <w:sz w:val="18"/>
          <w:szCs w:val="18"/>
          <w:color w:val="auto"/>
        </w:rPr>
        <w:t>In November 2024, the FASB issued ASU 2024-03 as an update to ASC Topic 220-40, which will be effective for fiscal years beginning after December 15, 2026 and interim periods beginning after December 15, 2027. Early adoption is permitted. ASU 2024-03 was issued to improve the disclosures about a public business entity's expenses and address request from investors for more disaggregated disclosures about the types of expenses (including employee compensation, depreciation, and amortization) in commonly presented expense captions (such as general and administrative expenses). In January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01 “Income Statement – Reporting Comprehensive Income – Expense Disaggregation Disclosures (Subtopic 220-40): Clarifying the Effective Date” to clarify the effective date provisions of ASU 2024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03 related to expense disaggregation disclosures. The Company is currently evaluating the impact of ASU 2024-03 on its condensed consolidated financial statements.</w:t>
      </w:r>
    </w:p>
    <w:p>
      <w:pPr>
        <w:spacing w:after="0" w:line="52" w:lineRule="exact"/>
        <w:rPr>
          <w:sz w:val="20"/>
          <w:szCs w:val="20"/>
          <w:color w:val="auto"/>
        </w:rPr>
      </w:pPr>
    </w:p>
    <w:p>
      <w:pPr>
        <w:jc w:val="both"/>
        <w:ind w:firstLine="449"/>
        <w:spacing w:after="0" w:line="233" w:lineRule="exact"/>
        <w:rPr>
          <w:sz w:val="20"/>
          <w:szCs w:val="20"/>
          <w:color w:val="auto"/>
        </w:rPr>
      </w:pPr>
      <w:r>
        <w:rPr>
          <w:rFonts w:ascii="Times New Roman" w:cs="Times New Roman" w:eastAsia="Times New Roman" w:hAnsi="Times New Roman"/>
          <w:sz w:val="18"/>
          <w:szCs w:val="18"/>
          <w:color w:val="auto"/>
        </w:rPr>
        <w:t>In May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04 “Compensation – Stock Compensation (Topic 718) and Revenue from Contracts with Customers (Topic 606): Clarifications to Share-Based Consideration Payable to a Customer”, which clarifies the accounting for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consideration payable to a customer, including classification and measurement guidance, to reduce diversity in practice. The amendments are effective for fiscal years, including interim periods, beginning after December 15, 2026, with early adoption permitted. The Company is currently assessing the impact of adopting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04 on its condensed consolidated financial statements but does not expect a material impact.</w:t>
      </w:r>
    </w:p>
    <w:p>
      <w:pPr>
        <w:spacing w:after="0" w:line="24" w:lineRule="exact"/>
        <w:rPr>
          <w:sz w:val="20"/>
          <w:szCs w:val="20"/>
          <w:color w:val="auto"/>
        </w:rPr>
      </w:pPr>
    </w:p>
    <w:p>
      <w:pPr>
        <w:jc w:val="both"/>
        <w:ind w:firstLine="449"/>
        <w:spacing w:after="0" w:line="226" w:lineRule="exact"/>
        <w:rPr>
          <w:sz w:val="20"/>
          <w:szCs w:val="20"/>
          <w:color w:val="auto"/>
        </w:rPr>
      </w:pPr>
      <w:r>
        <w:rPr>
          <w:rFonts w:ascii="Times New Roman" w:cs="Times New Roman" w:eastAsia="Times New Roman" w:hAnsi="Times New Roman"/>
          <w:sz w:val="18"/>
          <w:szCs w:val="18"/>
          <w:color w:val="auto"/>
        </w:rPr>
        <w:t>In November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 "Derivatives and Hedging (Topic 815): Hedge Accounting Improvements". The amendments provide targeted improvements intended to better align hedge accounting with entities’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management activities, including expanded eligibility for grouping forecasted transactions with similar risk exposures, clarified guidance for hedging forecasted interest payments on choose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your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 variable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 debt, expanded component hedging for nonfinancial items, conditions under which a net written option may qualify as a hedging instrument, and the ability to designate foreign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currency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denominated debt simultaneously as both a hedging instrument and a hedged item.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 is effective for fiscal years beginning after December 15, 2026, including interim periods within those fiscal years. Early</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jc w:val="both"/>
        <w:spacing w:after="0" w:line="245" w:lineRule="exact"/>
        <w:rPr>
          <w:sz w:val="20"/>
          <w:szCs w:val="20"/>
          <w:color w:val="auto"/>
        </w:rPr>
      </w:pPr>
      <w:r>
        <w:rPr>
          <w:rFonts w:ascii="Times New Roman" w:cs="Times New Roman" w:eastAsia="Times New Roman" w:hAnsi="Times New Roman"/>
          <w:sz w:val="18"/>
          <w:szCs w:val="18"/>
          <w:color w:val="auto"/>
        </w:rPr>
        <w:t>adoption is permitted. The Company is currently evaluating the impact of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 on its condensed consolidated financial statements and related disclosures.</w:t>
      </w:r>
    </w:p>
    <w:p>
      <w:pPr>
        <w:spacing w:after="0" w:line="50" w:lineRule="exact"/>
        <w:rPr>
          <w:sz w:val="20"/>
          <w:szCs w:val="20"/>
          <w:color w:val="auto"/>
        </w:rPr>
      </w:pPr>
    </w:p>
    <w:p>
      <w:pPr>
        <w:jc w:val="both"/>
        <w:ind w:firstLine="449"/>
        <w:spacing w:after="0" w:line="225" w:lineRule="exact"/>
        <w:rPr>
          <w:sz w:val="20"/>
          <w:szCs w:val="20"/>
          <w:color w:val="auto"/>
        </w:rPr>
      </w:pPr>
      <w:r>
        <w:rPr>
          <w:rFonts w:ascii="Times New Roman" w:cs="Times New Roman" w:eastAsia="Times New Roman" w:hAnsi="Times New Roman"/>
          <w:sz w:val="18"/>
          <w:szCs w:val="18"/>
          <w:color w:val="auto"/>
        </w:rPr>
        <w:t>In December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 "Interim Reporting (Topic 270): Narrow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Scope Improvements". The amendments clarify the applicability of the interim reporting guidance in Topic 270, improve the navigability of the interim reporting requirements, and provide a more comprehensive framework for interim disclosures, including a principle that entities disclose events and changes since the last annual reporting period that have a material effect on the entity.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 is effective for public business entities for interim reporting periods within annual reporting periods beginning after December 15, 2027, and for all other entities for interim reporting periods within annual reporting periods beginning after December 15, 2028. Early adoption is permitted. The Company is currently evaluating the impact of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 on its interim financial statements and related disclosures.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Combinations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completed acquisitions of Purcell Construction, Inc. (“Purcell”) on January 3, 2025, Page &amp; Associates, Inc. (“Page”) on May 30, 2025, and Red Clay Industries, Inc. (“Red Clay”) on October 1, 2025. Refer to Note 3 'Business Combinations' of the Company's 2025 Form 10-K for further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ALGC</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On February 18, 2026 (the "Acquisition Date"), Cardinal acquired 100% of the membership interests of A.L. Grading Contractors, LLC, a Georgia limited liability company ("ALGC"), pursuant to a Membership Interests Purchase and Contribution Agreement (the "MIPA") among the the Company, Cardinal ("Purchaser"), Diamond Interests Group LLC ("Seller"), and the Anthony L. Wood, Jr. (“Anthony Wood”) and Benjamin A. Wood (“Benjamin Wood” and, together with Anthony Wood, the “Seller Owners”). The acquisition was structured as a purchase of membership interests for legal purposes; however, in accordance with the intended tax treatment provisions of the MIPA and as a result of a pre-closing Q-Sub election and entity conversion, the transaction is treated as a taxable asset acquisition for U.S. federal income tax purposes under Section 1001 of the Code, resulting in a step-up in the tax basis of ALGC's assets at closing. The acquisition was accounted for as a business combination under ASC 805, Business Combinations. ALGC is engaged in the business of construction grading and installation of underground utilities throughout Georgia and this acquisition further expands the Company's geographic footprint.</w:t>
      </w:r>
    </w:p>
    <w:p>
      <w:pPr>
        <w:spacing w:after="0" w:line="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under ASC 805, Business Combinations. Accordingly, the assets acquired and liabilities assumed were recorded at their estimated fair values as of the ALGC Acquisition Date.</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purchase consideration was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 Consideration</w:t>
            </w:r>
          </w:p>
        </w:tc>
        <w:tc>
          <w:tcPr>
            <w:tcW w:w="14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4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115,361,840</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 and paid at closing</w:t>
            </w:r>
          </w:p>
        </w:tc>
        <w:tc>
          <w:tcPr>
            <w:tcW w:w="14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10,358,599</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working capital adjustment escrow (Initial Payment Escrow)</w:t>
            </w:r>
          </w:p>
        </w:tc>
        <w:tc>
          <w:tcPr>
            <w:tcW w:w="144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2,400,000</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Rollover equity</w:t>
            </w:r>
          </w:p>
        </w:tc>
        <w:tc>
          <w:tcPr>
            <w:tcW w:w="14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102,809,683</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Cardinal Group Class A common stock bonus grants</w:t>
            </w:r>
          </w:p>
        </w:tc>
        <w:tc>
          <w:tcPr>
            <w:tcW w:w="144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8,489,557</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 Tax Receivable and Benefit Agreements</w:t>
            </w:r>
          </w:p>
        </w:tc>
        <w:tc>
          <w:tcPr>
            <w:tcW w:w="14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15,254,000</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net working capital adjustment payable</w:t>
            </w:r>
          </w:p>
        </w:tc>
        <w:tc>
          <w:tcPr>
            <w:tcW w:w="14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(8,000)</w:t>
            </w:r>
          </w:p>
        </w:tc>
      </w:tr>
      <w:tr>
        <w:trPr>
          <w:trHeight w:val="209"/>
        </w:trPr>
        <w:tc>
          <w:tcPr>
            <w:tcW w:w="7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1440" w:type="dxa"/>
            <w:vAlign w:val="bottom"/>
            <w:tcBorders>
              <w:top w:val="single" w:sz="8" w:color="auto"/>
              <w:bottom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254,665,679</w:t>
            </w:r>
          </w:p>
        </w:tc>
        <w:tc>
          <w:tcPr>
            <w:tcW w:w="100" w:type="dxa"/>
            <w:vAlign w:val="bottom"/>
            <w:tcBorders>
              <w:top w:val="single" w:sz="8" w:color="CCEEFF"/>
            </w:tcBorders>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cash portion of the consideration was funded primarily through borrowings under the Company’s Credit Facility discussed in Note 7. In addition to the cash consideration, a significant portion of the purchase price was comprised of rollover equity issued to the sellers, as further described in Note 10. The ALGC purchase price allocation is as follows: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Preliminary Purchase Price Allocation</w:t>
            </w:r>
          </w:p>
        </w:tc>
        <w:tc>
          <w:tcPr>
            <w:tcW w:w="14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4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420" w:type="dxa"/>
            <w:vAlign w:val="bottom"/>
            <w:shd w:val="clear" w:color="auto" w:fill="CFF0FC"/>
          </w:tcPr>
          <w:p>
            <w:pPr>
              <w:jc w:val="right"/>
              <w:ind w:right="1256"/>
              <w:spacing w:after="0"/>
              <w:rPr>
                <w:sz w:val="20"/>
                <w:szCs w:val="20"/>
                <w:color w:val="auto"/>
              </w:rPr>
            </w:pPr>
            <w:r>
              <w:rPr>
                <w:rFonts w:ascii="Times New Roman" w:cs="Times New Roman" w:eastAsia="Times New Roman" w:hAnsi="Times New Roman"/>
                <w:sz w:val="17"/>
                <w:szCs w:val="17"/>
                <w:color w:val="auto"/>
                <w:w w:val="70"/>
              </w:rPr>
              <w:t>$</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2,587,582</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42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16,930,962</w:t>
            </w:r>
          </w:p>
        </w:tc>
        <w:tc>
          <w:tcPr>
            <w:tcW w:w="100" w:type="dxa"/>
            <w:vAlign w:val="bottom"/>
          </w:tcPr>
          <w:p>
            <w:pPr>
              <w:spacing w:after="0"/>
              <w:rPr>
                <w:sz w:val="18"/>
                <w:szCs w:val="18"/>
                <w:color w:val="auto"/>
              </w:rPr>
            </w:pPr>
          </w:p>
        </w:tc>
      </w:tr>
      <w:tr>
        <w:trPr>
          <w:trHeight w:val="216"/>
        </w:trPr>
        <w:tc>
          <w:tcPr>
            <w:tcW w:w="74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420" w:type="dxa"/>
            <w:vAlign w:val="bottom"/>
            <w:shd w:val="clear" w:color="auto" w:fill="CFF0FC"/>
          </w:tcPr>
          <w:p>
            <w:pPr>
              <w:spacing w:after="0"/>
              <w:rPr>
                <w:sz w:val="18"/>
                <w:szCs w:val="18"/>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10,627,298</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42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436,555</w:t>
            </w:r>
          </w:p>
        </w:tc>
        <w:tc>
          <w:tcPr>
            <w:tcW w:w="100" w:type="dxa"/>
            <w:vAlign w:val="bottom"/>
          </w:tcPr>
          <w:p>
            <w:pPr>
              <w:spacing w:after="0"/>
              <w:rPr>
                <w:sz w:val="18"/>
                <w:szCs w:val="18"/>
                <w:color w:val="auto"/>
              </w:rPr>
            </w:pPr>
          </w:p>
        </w:tc>
      </w:tr>
      <w:tr>
        <w:trPr>
          <w:trHeight w:val="216"/>
        </w:trPr>
        <w:tc>
          <w:tcPr>
            <w:tcW w:w="74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 current</w:t>
            </w:r>
          </w:p>
        </w:tc>
        <w:tc>
          <w:tcPr>
            <w:tcW w:w="1420" w:type="dxa"/>
            <w:vAlign w:val="bottom"/>
            <w:shd w:val="clear" w:color="auto" w:fill="CFF0FC"/>
          </w:tcPr>
          <w:p>
            <w:pPr>
              <w:spacing w:after="0"/>
              <w:rPr>
                <w:sz w:val="18"/>
                <w:szCs w:val="18"/>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199,097</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Other long term assets</w:t>
            </w:r>
          </w:p>
        </w:tc>
        <w:tc>
          <w:tcPr>
            <w:tcW w:w="142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426,506</w:t>
            </w:r>
          </w:p>
        </w:tc>
        <w:tc>
          <w:tcPr>
            <w:tcW w:w="100" w:type="dxa"/>
            <w:vAlign w:val="bottom"/>
          </w:tcPr>
          <w:p>
            <w:pPr>
              <w:spacing w:after="0"/>
              <w:rPr>
                <w:sz w:val="18"/>
                <w:szCs w:val="18"/>
                <w:color w:val="auto"/>
              </w:rPr>
            </w:pPr>
          </w:p>
        </w:tc>
      </w:tr>
      <w:tr>
        <w:trPr>
          <w:trHeight w:val="216"/>
        </w:trPr>
        <w:tc>
          <w:tcPr>
            <w:tcW w:w="74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20" w:type="dxa"/>
            <w:vAlign w:val="bottom"/>
            <w:shd w:val="clear" w:color="auto" w:fill="CFF0FC"/>
          </w:tcPr>
          <w:p>
            <w:pPr>
              <w:spacing w:after="0"/>
              <w:rPr>
                <w:sz w:val="18"/>
                <w:szCs w:val="18"/>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36,382,739</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2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4,798,645</w:t>
            </w:r>
          </w:p>
        </w:tc>
        <w:tc>
          <w:tcPr>
            <w:tcW w:w="100" w:type="dxa"/>
            <w:vAlign w:val="bottom"/>
          </w:tcPr>
          <w:p>
            <w:pPr>
              <w:spacing w:after="0"/>
              <w:rPr>
                <w:sz w:val="18"/>
                <w:szCs w:val="18"/>
                <w:color w:val="auto"/>
              </w:rPr>
            </w:pPr>
          </w:p>
        </w:tc>
      </w:tr>
      <w:tr>
        <w:trPr>
          <w:trHeight w:val="216"/>
        </w:trPr>
        <w:tc>
          <w:tcPr>
            <w:tcW w:w="74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4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67,900,000</w:t>
            </w:r>
          </w:p>
        </w:tc>
        <w:tc>
          <w:tcPr>
            <w:tcW w:w="100" w:type="dxa"/>
            <w:vAlign w:val="bottom"/>
          </w:tcPr>
          <w:p>
            <w:pPr>
              <w:spacing w:after="0"/>
              <w:rPr>
                <w:sz w:val="18"/>
                <w:szCs w:val="18"/>
                <w:color w:val="auto"/>
              </w:rPr>
            </w:pPr>
          </w:p>
        </w:tc>
      </w:tr>
      <w:tr>
        <w:trPr>
          <w:trHeight w:val="216"/>
        </w:trPr>
        <w:tc>
          <w:tcPr>
            <w:tcW w:w="746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Backlog</w:t>
            </w:r>
          </w:p>
        </w:tc>
        <w:tc>
          <w:tcPr>
            <w:tcW w:w="1420" w:type="dxa"/>
            <w:vAlign w:val="bottom"/>
            <w:shd w:val="clear" w:color="auto" w:fill="CFF0FC"/>
          </w:tcPr>
          <w:p>
            <w:pPr>
              <w:spacing w:after="0"/>
              <w:rPr>
                <w:sz w:val="18"/>
                <w:szCs w:val="18"/>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18,700,000</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Non-compete agreements</w:t>
            </w:r>
          </w:p>
        </w:tc>
        <w:tc>
          <w:tcPr>
            <w:tcW w:w="142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100" w:type="dxa"/>
            <w:vAlign w:val="bottom"/>
          </w:tcPr>
          <w:p>
            <w:pPr>
              <w:spacing w:after="0"/>
              <w:rPr>
                <w:sz w:val="18"/>
                <w:szCs w:val="18"/>
                <w:color w:val="auto"/>
              </w:rPr>
            </w:pPr>
          </w:p>
        </w:tc>
      </w:tr>
      <w:tr>
        <w:trPr>
          <w:trHeight w:val="216"/>
        </w:trPr>
        <w:tc>
          <w:tcPr>
            <w:tcW w:w="746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Trade name</w:t>
            </w:r>
          </w:p>
        </w:tc>
        <w:tc>
          <w:tcPr>
            <w:tcW w:w="1420" w:type="dxa"/>
            <w:vAlign w:val="bottom"/>
            <w:shd w:val="clear" w:color="auto" w:fill="CFF0FC"/>
          </w:tcPr>
          <w:p>
            <w:pPr>
              <w:spacing w:after="0"/>
              <w:rPr>
                <w:sz w:val="18"/>
                <w:szCs w:val="18"/>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9,300,000</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Goodwill</w:t>
            </w:r>
          </w:p>
        </w:tc>
        <w:tc>
          <w:tcPr>
            <w:tcW w:w="142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105,109,288</w:t>
            </w:r>
          </w:p>
        </w:tc>
        <w:tc>
          <w:tcPr>
            <w:tcW w:w="100" w:type="dxa"/>
            <w:vAlign w:val="bottom"/>
          </w:tcPr>
          <w:p>
            <w:pPr>
              <w:spacing w:after="0"/>
              <w:rPr>
                <w:sz w:val="18"/>
                <w:szCs w:val="18"/>
                <w:color w:val="auto"/>
              </w:rPr>
            </w:pPr>
          </w:p>
        </w:tc>
      </w:tr>
      <w:tr>
        <w:trPr>
          <w:trHeight w:val="216"/>
        </w:trPr>
        <w:tc>
          <w:tcPr>
            <w:tcW w:w="74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20" w:type="dxa"/>
            <w:vAlign w:val="bottom"/>
            <w:shd w:val="clear" w:color="auto" w:fill="CFF0FC"/>
          </w:tcPr>
          <w:p>
            <w:pPr>
              <w:spacing w:after="0"/>
              <w:rPr>
                <w:sz w:val="18"/>
                <w:szCs w:val="18"/>
                <w:color w:val="auto"/>
              </w:rPr>
            </w:pPr>
          </w:p>
        </w:tc>
        <w:tc>
          <w:tcPr>
            <w:tcW w:w="2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(11,548,286)</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420" w:type="dxa"/>
            <w:vAlign w:val="bottom"/>
          </w:tcPr>
          <w:p>
            <w:pPr>
              <w:spacing w:after="0"/>
              <w:rPr>
                <w:sz w:val="18"/>
                <w:szCs w:val="18"/>
                <w:color w:val="auto"/>
              </w:rPr>
            </w:pPr>
          </w:p>
        </w:tc>
        <w:tc>
          <w:tcPr>
            <w:tcW w:w="2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(1,313,235)</w:t>
            </w:r>
          </w:p>
        </w:tc>
      </w:tr>
      <w:tr>
        <w:trPr>
          <w:trHeight w:val="216"/>
        </w:trPr>
        <w:tc>
          <w:tcPr>
            <w:tcW w:w="74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420" w:type="dxa"/>
            <w:vAlign w:val="bottom"/>
            <w:shd w:val="clear" w:color="auto" w:fill="CFF0FC"/>
          </w:tcPr>
          <w:p>
            <w:pPr>
              <w:spacing w:after="0"/>
              <w:rPr>
                <w:sz w:val="18"/>
                <w:szCs w:val="18"/>
                <w:color w:val="auto"/>
              </w:rPr>
            </w:pPr>
          </w:p>
        </w:tc>
        <w:tc>
          <w:tcPr>
            <w:tcW w:w="2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(890,826)</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20" w:type="dxa"/>
            <w:vAlign w:val="bottom"/>
          </w:tcPr>
          <w:p>
            <w:pPr>
              <w:spacing w:after="0"/>
              <w:rPr>
                <w:sz w:val="18"/>
                <w:szCs w:val="18"/>
                <w:color w:val="auto"/>
              </w:rPr>
            </w:pPr>
          </w:p>
        </w:tc>
        <w:tc>
          <w:tcPr>
            <w:tcW w:w="2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(85,148)</w:t>
            </w:r>
          </w:p>
        </w:tc>
      </w:tr>
      <w:tr>
        <w:trPr>
          <w:trHeight w:val="216"/>
        </w:trPr>
        <w:tc>
          <w:tcPr>
            <w:tcW w:w="74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420" w:type="dxa"/>
            <w:vAlign w:val="bottom"/>
            <w:shd w:val="clear" w:color="auto" w:fill="CFF0FC"/>
          </w:tcPr>
          <w:p>
            <w:pPr>
              <w:spacing w:after="0"/>
              <w:rPr>
                <w:sz w:val="18"/>
                <w:szCs w:val="18"/>
                <w:color w:val="auto"/>
              </w:rPr>
            </w:pPr>
          </w:p>
        </w:tc>
        <w:tc>
          <w:tcPr>
            <w:tcW w:w="2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(6,095,498)</w:t>
            </w:r>
          </w:p>
        </w:tc>
      </w:tr>
      <w:tr>
        <w:trPr>
          <w:trHeight w:val="20"/>
        </w:trPr>
        <w:tc>
          <w:tcPr>
            <w:tcW w:w="7460" w:type="dxa"/>
            <w:vAlign w:val="bottom"/>
            <w:tcBorders>
              <w:right w:val="single" w:sz="8" w:color="CFF0FC"/>
            </w:tcBorders>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Total net assets acquired</w:t>
            </w:r>
          </w:p>
        </w:tc>
        <w:tc>
          <w:tcPr>
            <w:tcW w:w="1420" w:type="dxa"/>
            <w:vAlign w:val="bottom"/>
            <w:tcBorders>
              <w:bottom w:val="single" w:sz="8" w:color="auto"/>
            </w:tcBorders>
          </w:tcPr>
          <w:p>
            <w:pPr>
              <w:jc w:val="right"/>
              <w:ind w:right="1256"/>
              <w:spacing w:after="0"/>
              <w:rPr>
                <w:sz w:val="20"/>
                <w:szCs w:val="20"/>
                <w:color w:val="auto"/>
              </w:rPr>
            </w:pPr>
            <w:r>
              <w:rPr>
                <w:rFonts w:ascii="Times New Roman" w:cs="Times New Roman" w:eastAsia="Times New Roman" w:hAnsi="Times New Roman"/>
                <w:sz w:val="17"/>
                <w:szCs w:val="17"/>
                <w:color w:val="auto"/>
                <w:w w:val="70"/>
              </w:rPr>
              <w:t>$</w:t>
            </w: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254,665,679</w:t>
            </w:r>
          </w:p>
        </w:tc>
        <w:tc>
          <w:tcPr>
            <w:tcW w:w="100" w:type="dxa"/>
            <w:vAlign w:val="bottom"/>
          </w:tcPr>
          <w:p>
            <w:pPr>
              <w:spacing w:after="0"/>
              <w:rPr>
                <w:sz w:val="18"/>
                <w:szCs w:val="18"/>
                <w:color w:val="auto"/>
              </w:rPr>
            </w:pPr>
          </w:p>
        </w:tc>
      </w:tr>
      <w:tr>
        <w:trPr>
          <w:trHeight w:val="20"/>
        </w:trPr>
        <w:tc>
          <w:tcPr>
            <w:tcW w:w="74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fair value of receivables acquired approximated their gross contractual amounts. The Company’s best estimate at the acquisition date of contractual cash flows not expected to be collected was zero, as the Company expects to collect all amounts due.</w:t>
      </w:r>
    </w:p>
    <w:p>
      <w:pPr>
        <w:spacing w:after="0" w:line="5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excess of purchase consideration over the fair value of net assets acquired was recorded as goodwill. The goodwill recognized is attributable to qualitative factors such as anticipated cost synergies and future growth in the combined business, as well as the value of the acquired assembled workforce.</w:t>
      </w:r>
    </w:p>
    <w:p>
      <w:pPr>
        <w:spacing w:after="0" w:line="27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For income tax purposes, the acquisition was structured as a taxable purchase of a portion of the assets of ALGC, combined with a tax-deferred contribution of equity by the sellers. Consequently, a portion of the goodwill recognized is expected to be deductible for tax purposes. The Company is currently evaluating the fair value of the assets acquired for tax purposes and has not yet finalized the specific amount of tax-deductible goodwill. Any adjustments resulting from the finalization of the tax basis will be reflected as measurement period adjustments.</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tax benefits associated with such deductions will primarily accrue to the holders of OpCo LLC units, including noncontrolling interest holders.</w:t>
      </w:r>
    </w:p>
    <w:p>
      <w:pPr>
        <w:spacing w:after="0" w:line="76" w:lineRule="exact"/>
        <w:rPr>
          <w:sz w:val="20"/>
          <w:szCs w:val="20"/>
          <w:color w:val="auto"/>
        </w:rPr>
      </w:pPr>
    </w:p>
    <w:p>
      <w:pPr>
        <w:jc w:val="both"/>
        <w:ind w:firstLine="509"/>
        <w:spacing w:after="0" w:line="238" w:lineRule="exact"/>
        <w:rPr>
          <w:sz w:val="20"/>
          <w:szCs w:val="20"/>
          <w:color w:val="auto"/>
        </w:rPr>
      </w:pPr>
      <w:r>
        <w:rPr>
          <w:rFonts w:ascii="Times New Roman" w:cs="Times New Roman" w:eastAsia="Times New Roman" w:hAnsi="Times New Roman"/>
          <w:sz w:val="18"/>
          <w:szCs w:val="18"/>
          <w:color w:val="auto"/>
        </w:rPr>
        <w:t>As part of the acquisition transaction, the Company entered into two separate 15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lease agreements with an entity under common control with the seller to lease the existing operating and office facilities of ALGC. The contractual lease payments under these agreements exceeded market rates at the acquisition date. As a result, the Company recorded an unfavorable lease fair value adjustment of $1,380,000, which was recognized as a reduction to the operating lease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 as of the acquisition date.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ALGC Condensed Consolidated Statements of Cash Flows Reconciliation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net consideration paid for the acquisition of ALGC to the amounts presented in the condensed consolidated statements of cash flows.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ALGC cash consideration paid</w:t>
            </w:r>
          </w:p>
        </w:tc>
        <w:tc>
          <w:tcPr>
            <w:tcW w:w="4480" w:type="dxa"/>
            <w:vAlign w:val="bottom"/>
            <w:gridSpan w:val="2"/>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117,761,840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ALGC liabilities assumed and paid at closing</w:t>
            </w:r>
          </w:p>
        </w:tc>
        <w:tc>
          <w:tcPr>
            <w:tcW w:w="3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10,358,599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cash acquired</w:t>
            </w:r>
          </w:p>
        </w:tc>
        <w:tc>
          <w:tcPr>
            <w:tcW w:w="30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(2,587,582)</w:t>
            </w:r>
          </w:p>
        </w:tc>
        <w:tc>
          <w:tcPr>
            <w:tcW w:w="0" w:type="dxa"/>
            <w:vAlign w:val="bottom"/>
          </w:tcPr>
          <w:p>
            <w:pPr>
              <w:spacing w:after="0"/>
              <w:rPr>
                <w:sz w:val="1"/>
                <w:szCs w:val="1"/>
                <w:color w:val="auto"/>
              </w:rPr>
            </w:pPr>
          </w:p>
        </w:tc>
      </w:tr>
      <w:tr>
        <w:trPr>
          <w:trHeight w:val="209"/>
        </w:trPr>
        <w:tc>
          <w:tcPr>
            <w:tcW w:w="4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consideration paid for acquisitions</w:t>
            </w:r>
          </w:p>
        </w:tc>
        <w:tc>
          <w:tcPr>
            <w:tcW w:w="3040" w:type="dxa"/>
            <w:vAlign w:val="bottom"/>
            <w:tcBorders>
              <w:top w:val="single" w:sz="8" w:color="CFF0FC"/>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125,532,857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040" w:type="dxa"/>
            <w:vAlign w:val="bottom"/>
            <w:vMerge w:val="restart"/>
          </w:tcPr>
          <w:p>
            <w:pPr>
              <w:jc w:val="right"/>
              <w:ind w:right="1630"/>
              <w:spacing w:after="0"/>
              <w:rPr>
                <w:sz w:val="20"/>
                <w:szCs w:val="20"/>
                <w:color w:val="auto"/>
              </w:rPr>
            </w:pPr>
            <w:r>
              <w:rPr>
                <w:rFonts w:ascii="Times New Roman" w:cs="Times New Roman" w:eastAsia="Times New Roman" w:hAnsi="Times New Roman"/>
                <w:sz w:val="18"/>
                <w:szCs w:val="18"/>
                <w:color w:val="auto"/>
              </w:rPr>
              <w:t>14</w:t>
            </w:r>
          </w:p>
        </w:tc>
        <w:tc>
          <w:tcPr>
            <w:tcW w:w="14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40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0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 w:name="page17"/>
    <w:bookmarkEnd w:id="16"/>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ALGC Pro Forma Information (Unaudited)</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information presents the combined results of operations of the Company, with ALGC as if the acquisition had occurred on January 1, 2025. The unaudited pro forma results reflect adjustments for (i) depreciation and amortization of acquired tangible and intangible assets based on the preliminary fair value allocations, and (ii) the related income tax effects of these adjustments. The pro forma information is presented for informational purposes only and does not purport to represent what the actual results of operations would have been had the acquisition occurred on the date indicated, nor is it necessarily indicative of future results of operations.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60" w:type="dxa"/>
            <w:vAlign w:val="bottom"/>
          </w:tcPr>
          <w:p>
            <w:pPr>
              <w:spacing w:after="0"/>
              <w:rPr>
                <w:sz w:val="18"/>
                <w:szCs w:val="18"/>
                <w:color w:val="auto"/>
              </w:rPr>
            </w:pPr>
          </w:p>
        </w:tc>
        <w:tc>
          <w:tcPr>
            <w:tcW w:w="4640" w:type="dxa"/>
            <w:vAlign w:val="bottom"/>
            <w:gridSpan w:val="4"/>
          </w:tcPr>
          <w:p>
            <w:pPr>
              <w:jc w:val="center"/>
              <w:ind w:left="833"/>
              <w:spacing w:after="0"/>
              <w:rPr>
                <w:sz w:val="20"/>
                <w:szCs w:val="20"/>
                <w:color w:val="auto"/>
              </w:rPr>
            </w:pPr>
            <w:r>
              <w:rPr>
                <w:rFonts w:ascii="Times New Roman" w:cs="Times New Roman" w:eastAsia="Times New Roman" w:hAnsi="Times New Roman"/>
                <w:sz w:val="16"/>
                <w:szCs w:val="16"/>
                <w:b w:val="1"/>
                <w:bCs w:val="1"/>
                <w:color w:val="auto"/>
              </w:rPr>
              <w:t>Unaudited Proforma for the Company and ALGC</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0"/>
        </w:trPr>
        <w:tc>
          <w:tcPr>
            <w:tcW w:w="55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20" w:type="dxa"/>
            <w:vAlign w:val="bottom"/>
            <w:gridSpan w:val="3"/>
          </w:tcPr>
          <w:p>
            <w:pPr>
              <w:jc w:val="center"/>
              <w:ind w:right="59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556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20" w:type="dxa"/>
            <w:vAlign w:val="bottom"/>
            <w:shd w:val="clear" w:color="auto" w:fill="CFF0FC"/>
          </w:tcPr>
          <w:p>
            <w:pPr>
              <w:jc w:val="right"/>
              <w:ind w:right="1433"/>
              <w:spacing w:after="0"/>
              <w:rPr>
                <w:sz w:val="20"/>
                <w:szCs w:val="20"/>
                <w:color w:val="auto"/>
              </w:rPr>
            </w:pPr>
            <w:r>
              <w:rPr>
                <w:rFonts w:ascii="Times New Roman" w:cs="Times New Roman" w:eastAsia="Times New Roman" w:hAnsi="Times New Roman"/>
                <w:sz w:val="18"/>
                <w:szCs w:val="18"/>
                <w:color w:val="auto"/>
                <w:w w:val="88"/>
              </w:rPr>
              <w:t>$</w:t>
            </w:r>
          </w:p>
        </w:tc>
        <w:tc>
          <w:tcPr>
            <w:tcW w:w="3020" w:type="dxa"/>
            <w:vAlign w:val="bottom"/>
            <w:gridSpan w:val="3"/>
            <w:shd w:val="clear" w:color="auto" w:fill="CFF0FC"/>
          </w:tcPr>
          <w:p>
            <w:pPr>
              <w:jc w:val="right"/>
              <w:ind w:right="1610"/>
              <w:spacing w:after="0"/>
              <w:rPr>
                <w:sz w:val="20"/>
                <w:szCs w:val="20"/>
                <w:color w:val="auto"/>
              </w:rPr>
            </w:pPr>
            <w:r>
              <w:rPr>
                <w:rFonts w:ascii="Times New Roman" w:cs="Times New Roman" w:eastAsia="Times New Roman" w:hAnsi="Times New Roman"/>
                <w:sz w:val="18"/>
                <w:szCs w:val="18"/>
                <w:color w:val="auto"/>
              </w:rPr>
              <w:t>200,073,121  $</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98,564,463</w:t>
            </w:r>
          </w:p>
        </w:tc>
        <w:tc>
          <w:tcPr>
            <w:tcW w:w="100" w:type="dxa"/>
            <w:vAlign w:val="bottom"/>
            <w:shd w:val="clear" w:color="auto" w:fill="CFF0FC"/>
          </w:tcPr>
          <w:p>
            <w:pPr>
              <w:spacing w:after="0"/>
              <w:rPr>
                <w:sz w:val="18"/>
                <w:szCs w:val="18"/>
                <w:color w:val="auto"/>
              </w:rPr>
            </w:pPr>
          </w:p>
        </w:tc>
      </w:tr>
      <w:tr>
        <w:trPr>
          <w:trHeight w:val="234"/>
        </w:trPr>
        <w:tc>
          <w:tcPr>
            <w:tcW w:w="5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16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4,349,176</w:t>
            </w: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5,401,361</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Company's results include $17,136,319 of revenue and approximately $1,237,070 of net income attributable to ALGC for the period from February 18, 2026 (the ALGC Acquisition Date) through March 31, 2026, which are included in the Company’s condensed consolidated statements of operations for the quarter ended March 31, 2026. The 2026 income amount includes $1,630,696 of amortization expense of acquired backlog and other intangible assets.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ALGC Intangible Assets</w:t>
      </w:r>
    </w:p>
    <w:p>
      <w:pPr>
        <w:spacing w:after="0" w:line="80" w:lineRule="exact"/>
        <w:rPr>
          <w:sz w:val="20"/>
          <w:szCs w:val="20"/>
          <w:color w:val="auto"/>
        </w:rPr>
      </w:pPr>
    </w:p>
    <w:p>
      <w:pPr>
        <w:jc w:val="both"/>
        <w:ind w:firstLine="509"/>
        <w:spacing w:after="0" w:line="245" w:lineRule="exact"/>
        <w:rPr>
          <w:sz w:val="20"/>
          <w:szCs w:val="20"/>
          <w:color w:val="auto"/>
        </w:rPr>
      </w:pPr>
      <w:r>
        <w:rPr>
          <w:rFonts w:ascii="Times New Roman" w:cs="Times New Roman" w:eastAsia="Times New Roman" w:hAnsi="Times New Roman"/>
          <w:sz w:val="18"/>
          <w:szCs w:val="18"/>
          <w:color w:val="auto"/>
        </w:rPr>
        <w:t>The Company recognized identifiable intangible assets for customer relationships, contractual backlog related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cancellable construction contracts in place as of the acquisition date, and the ALGC tradename. These assets are included in "Other intangible assets" on the condensed consolidated balance sheets, and each asset is considered a 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intangible asset.</w:t>
      </w:r>
    </w:p>
    <w:p>
      <w:pPr>
        <w:spacing w:after="0" w:line="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fair value of the identifiable intangible assets was determined using a Level 3 fair value measurement under ASC 820, Fair Value Measurement, as the valuation relied on significant unobservable inputs. Management determined that customer relationships represent the most significant identifiable intangible asset acquired, and accordingly, disclosures focus primarily on this asset.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Relationships Asset</w:t>
      </w:r>
    </w:p>
    <w:p>
      <w:pPr>
        <w:spacing w:after="0" w:line="78" w:lineRule="exact"/>
        <w:rPr>
          <w:sz w:val="20"/>
          <w:szCs w:val="20"/>
          <w:color w:val="auto"/>
        </w:rPr>
      </w:pPr>
    </w:p>
    <w:p>
      <w:pPr>
        <w:jc w:val="both"/>
        <w:ind w:firstLine="509"/>
        <w:spacing w:after="0" w:line="228" w:lineRule="exact"/>
        <w:rPr>
          <w:sz w:val="20"/>
          <w:szCs w:val="20"/>
          <w:color w:val="auto"/>
        </w:rPr>
      </w:pPr>
      <w:r>
        <w:rPr>
          <w:rFonts w:ascii="Times New Roman" w:cs="Times New Roman" w:eastAsia="Times New Roman" w:hAnsi="Times New Roman"/>
          <w:sz w:val="18"/>
          <w:szCs w:val="18"/>
          <w:color w:val="auto"/>
        </w:rPr>
        <w:t>The Company valued customer relationships using the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excess earnings method, which estimates the present value of after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cash flows attributable to existing customers after deducting contributory asset charges. Customer relationships were disaggregated into commercial, industrial, and residential components due to differences in customer behavior and risk characteristics. Commercial customer relationships were valued using an attrition rate of 16.5 percent and a discount rate of 19 percent. Industrial customer relationships were valued using an attrition rate of 20.5 percent and a discount rate of 19 percent. Residential customer relationships were valued using an attrition rate of 8.5 percent and a discount rate of 19 percent.</w:t>
      </w:r>
    </w:p>
    <w:p>
      <w:pPr>
        <w:spacing w:after="0" w:line="9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key assumptions included projected revenues and operating margins for each customer class and a tax amortization period of 15 years. Based on these assumptions, the resulting aggregate fair value of customer relationships was $67.9 million.</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hypothetical 200 basis point decrease or increase in the customer attrition rates applied consistently across the commercial, industrial, and residential customer relationship populations would, in the aggregate, result in an approximately $9.3 million increase or decrease in the fair value of customer relationships. In addition, a hypothetical 100 basis point decrease or increase in the discount rate applied uniformly across all customer relationship populations would, in the aggregate, result in an approximately $4.6 million increase or decrease in the fair value of customer relationships.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Tradename Asset</w:t>
      </w:r>
    </w:p>
    <w:p>
      <w:pPr>
        <w:spacing w:after="0" w:line="78" w:lineRule="exact"/>
        <w:rPr>
          <w:sz w:val="20"/>
          <w:szCs w:val="20"/>
          <w:color w:val="auto"/>
        </w:rPr>
      </w:pPr>
    </w:p>
    <w:p>
      <w:pPr>
        <w:jc w:val="both"/>
        <w:ind w:firstLine="509"/>
        <w:spacing w:after="0" w:line="228" w:lineRule="exact"/>
        <w:rPr>
          <w:sz w:val="20"/>
          <w:szCs w:val="20"/>
          <w:color w:val="auto"/>
        </w:rPr>
      </w:pPr>
      <w:r>
        <w:rPr>
          <w:rFonts w:ascii="Times New Roman" w:cs="Times New Roman" w:eastAsia="Times New Roman" w:hAnsi="Times New Roman"/>
          <w:sz w:val="18"/>
          <w:szCs w:val="18"/>
          <w:color w:val="auto"/>
        </w:rPr>
        <w:t>The Company valued the trade name using the relief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from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royalty method, which estimates the present value of after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royalty payments that the Company would otherwise be required to pay to license the trade name from a third party. The trade name was valued using a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royalty rate of 1.0 percent applied to projected revenue, a discount rate of 18 percent, and an estimated useful life of 10 years. Other key assumptions included projected revenue attributable to the trade name and a tax amortization period of 15 years. Based on these assumptions, the resulting fair value of the trade name was $9.3 million.</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hypothetical 10 basis point decrease or increase in the royalty rate would result in an approximately $0.9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decrease or $1.0 million increase, respectively, in the fair value of the trade name. In addition, a hypothetical 100 basis point decrease or increase in the discount rate would result in an approximately $0.4 million increase or $0.3 million decrease, respectively, in the fair value of the trade name.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Intangible Asset Amortization</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ALGC intangibles assets will be amortized straight-line over their estimated useful lives of a weighted average of 11.6 years for the customer relationships (nine years for Commercial customers, eight years for Industrial customers, 13 years for Residential customers), 18 months for backlog, four years for non-compete agreements, and ten years for the tradename. Customer relationships, non-compete agreements, and tradename amortization is included in the Amortization expense caption of the condensed consolidated statement of income, while backlog amortization is included in the “Cost of revenues, excluding depreciation and amortization” caption.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 (TRA and TBA)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its December 2025 initial public offering, PubCo entered into a Tax Receivable Agreement (the "TRA") dated December 9, 2025, among PubCo, Cardinal Civil Contracting Holdings LLC ("OpCo"), and the TRA Parties named therein. As part of the ALGC acquisition on February 18, 2026, Diamond Interests Group LLC and the Seller Owners became parties to the pre-existing TRA as Continuing Equity Holders upon the issuance of their 4,186,062 OpCo units (rollover equity). Under the TRA, PubCo is obligated to pay the Continuing Equity Holders 85% of the net cash tax savings that PubCo actually realizes from the tax basis step-up in OpCo's assets attributable to future exchanges of OpCo units for PubCo Class A common stock or cash, determined on a "with and without" methodology. Payments under the TRA are contingent upon (i) future exchanges of OpCo units actually occurring and (ii) PubCo generating sufficient taxable income to utilize the resulting tax attributes. The TRA includes provisions for early termination at PubCo's election (subject to independent director approval), change-of-control acceleration, and NOL carryforward mechanics capped at 80% of annual pretax income. Interest accrues on unpaid TRA payments at SOFR plus 100 basis points.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Benefit Agreement</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Concurrently with the ALGC acquisition on February 18, 2026, PubCo entered into a Tax Benefit Agreement (the "TBA") dated February 18, 2026, among PubCo, OpCo, and Diamond Interests Group LLC. Under the TBA, PubCo is obligated to pay 85% of the annual Cumulative Net Realized Tax Benefit (as defined in the TBA) arising from the basis step-up in ALGC's assets attributable to the portion of the acquisition treated as a taxable asset sale under IRC Section 1001. The Realized Tax Benefit (as defined in the TBA) is computed under a "with and without" method that assumes PubCo is allocated 80% of OpCo's amortization and depreciation deductions in respect of the Basis Adjustments as defined in the TBA. Unlike the TRA, TBA payments do not require future unit exchanges; rather, they depend on PubCo generating sufficient taxable income to utilize the amortization deductions, which arise over the applicable depreciable and amortizable lives of the stepped-up assets (including immediate expensing of fixed asset step-up under bonus depreciation and 15-year amortization of intangible assets under federal tax rules). Interest on unpaid TBA payments accrues at SOFR plus 100 basis points.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 and Recognition</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Both the TRA and TBA represent contingent consideration in connection with the Acquisition, as the Purchase Consideration in the purchase agreement is explicitly stated to be increased by payments made to Seller Owners under or in respect of both agreements. Accordingly, the Company recognized the TRA and TBA obligations as contingent consideration at acquisition-date fair value.</w:t>
      </w:r>
    </w:p>
    <w:p>
      <w:pPr>
        <w:spacing w:after="0" w:line="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aggregate acquisition-date fair value of the TRA and TBA was $15.3 million ($8.2 million attributable to the TRA and $7.1 million attributable to the TBA), determined using a Monte Carlo simulation model with 100,000 trials. The key inputs to the model included: (i) management's projected pretax book income for fiscal years 2026 through 2030, extended through 2053 at a normalized long-term growth rate of 3.0%; (ii) book-to-tax adjustments to convert pretax book income to a tax basis, including immediate bonus depreciation of the fixed asset step-up and 15-year amortization of intangible assets; (iii) annual net operating loss carryforward mechanics capped at 80% of pretax income in any year; (iv) an 85% payment percentage applied to cumulative net realized tax benefits; and (v) an equity volatility assumption of 58.0%, derived from the observed 20-year average equity volatility of a group of guideline public companies and re-levered to reflect the Company’s capital structure, reflecting the equity-linked nature of the underlying cash flows. A metric risk premium was applied to adjust management's pretax income projections to a risk-neutral perspective, based on the Company’s cost of equity capital of 24.0% relative to the guideline public company median. This measurement is classified within Level 3 of the ASC 820 fair value hierarchy due to the use of significant unobservable inputs, including projected taxable income, future tax rates, and the timing of future OpCo unit exchanges.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200 basis point increase in the discount rate variable would decrease the combined value of the TRA and TBA by $790,000, while a 200 basis point decrease would increase the value by $780,000. A 500 basis point increase in the volatility variable would decrease the combined value of the TRA and TBA by $960,000, while a 500 basis point decrease would increase the value by $900,000.</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potential undiscounted payments under the TRA and TBA have no contractual maximum. The minimum potential payment under each agreement is $0, which would occur in scenarios where PubCo does not generate taxable income sufficient to utilize the relevant tax attributes or where no future exchanges of OpCo units occur under the TRA. The expected payment period runs through approximately 2041, reflecting the 15-year IRC Section 197 amortization period for intangible assets under the TBA and the assumed timing of future OpCo unit exchanges under the TRA. Subsequent changes in the fair value of these contingent consideration liabilities are recognized in earnings in the period of change.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Backlog</w:t>
      </w:r>
    </w:p>
    <w:p>
      <w:pPr>
        <w:spacing w:after="0" w:line="80" w:lineRule="exact"/>
        <w:rPr>
          <w:sz w:val="20"/>
          <w:szCs w:val="20"/>
          <w:color w:val="auto"/>
        </w:rPr>
      </w:pPr>
    </w:p>
    <w:p>
      <w:pPr>
        <w:jc w:val="both"/>
        <w:ind w:firstLine="509"/>
        <w:spacing w:after="0" w:line="245" w:lineRule="exact"/>
        <w:rPr>
          <w:sz w:val="20"/>
          <w:szCs w:val="20"/>
          <w:color w:val="auto"/>
        </w:rPr>
      </w:pPr>
      <w:r>
        <w:rPr>
          <w:rFonts w:ascii="Times New Roman" w:cs="Times New Roman" w:eastAsia="Times New Roman" w:hAnsi="Times New Roman"/>
          <w:sz w:val="18"/>
          <w:szCs w:val="18"/>
          <w:color w:val="auto"/>
        </w:rPr>
        <w:t>The Company recognized an identifiable intangible asset for contractual backlog related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cancellable construction contracts in place as of the acquisition dates for ALGC. The backlog assets are included in "Other intangible assets" on the condensed consolidated balance sheets. The backlog represents the estimated future profit margin to be realized from these contracts and is considered a 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intangible asset.</w:t>
      </w:r>
    </w:p>
    <w:p>
      <w:pPr>
        <w:spacing w:after="0" w:line="170" w:lineRule="exact"/>
        <w:rPr>
          <w:sz w:val="20"/>
          <w:szCs w:val="20"/>
          <w:color w:val="auto"/>
        </w:rPr>
      </w:pPr>
    </w:p>
    <w:p>
      <w:pPr>
        <w:jc w:val="both"/>
        <w:ind w:firstLine="509"/>
        <w:spacing w:after="0" w:line="220" w:lineRule="exact"/>
        <w:rPr>
          <w:sz w:val="20"/>
          <w:szCs w:val="20"/>
          <w:color w:val="auto"/>
        </w:rPr>
      </w:pPr>
      <w:r>
        <w:rPr>
          <w:rFonts w:ascii="Times New Roman" w:cs="Times New Roman" w:eastAsia="Times New Roman" w:hAnsi="Times New Roman"/>
          <w:sz w:val="18"/>
          <w:szCs w:val="18"/>
          <w:color w:val="auto"/>
        </w:rPr>
        <w:t>The fair value of the backlog was estimated using the income approach (multi-period excess earnings method) that isolates the cash flows attributable to the backlog and discounts them to present value. The calculation began with the total gross backlog amount based on signed,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cancellable contracts as of the acquisition date. Estimated profit margin percentages were applied to derive expected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cash flows. The estimated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cash flows were discounted to present value using a rate that reflects the timing and risk profile of the expected realization period.</w:t>
      </w:r>
    </w:p>
    <w:p>
      <w:pPr>
        <w:spacing w:after="0" w:line="20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backlog asset is classified as a Level 3 measurement within the fair value hierarchy due to the use of significant unobservable inputs, including management’s estimates of profit margin and risk adjustments.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ALGC Backlog</w:t>
      </w:r>
      <w:r>
        <w:rPr>
          <w:rFonts w:ascii="Times New Roman" w:cs="Times New Roman" w:eastAsia="Times New Roman" w:hAnsi="Times New Roman"/>
          <w:sz w:val="18"/>
          <w:szCs w:val="18"/>
          <w:color w:val="auto"/>
        </w:rPr>
        <w:t>: For the ALGC acquisition, unobservable inputs (Level 3) to the valuation included:</w:t>
      </w:r>
    </w:p>
    <w:p>
      <w:pPr>
        <w:spacing w:after="0" w:line="121" w:lineRule="exact"/>
        <w:rPr>
          <w:sz w:val="20"/>
          <w:szCs w:val="20"/>
          <w:color w:val="auto"/>
        </w:rPr>
      </w:pPr>
    </w:p>
    <w:p>
      <w:pPr>
        <w:ind w:left="1020" w:right="8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backlog totals $18.7 million, based on executed contracts, comprised of $11.3 million of residential backlog, $3.8 million of multifamily backlog, and $1.8 million each of commercial and industrial backlog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profit margin: 27.1% for residential, 29.6% for multifamily, 27.4% for commercial, and 28.9% for industrial backlog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realization period: 18 months across all backlog categories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 17% across all backlog categories</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most significant assumption in the ALGC valuation is the estimated gross margin. A hypothetical 200 basis point increase (decrease) in the profit margin assumption across each sector would increase (decrease) the combined fair value of the backlog asset by $2,700,000, and $2,400,000, respectively. Changes in the estimated realization period and discount rate would not have a material effect on the valuation given the short realization period.</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ALGC backlog intangible asset was amortized straight-line over its estimated realization period of approximately 18 months through August 2027, which reflects the pattern in which the economic benefits were expected to be consumed. Based on the ALGC backlog asset’s carrying amount at the acquisition date and its estimated 18 month useful life, $1,558,333 was recognized as amortization expense during the quarter ended March 31, 2026 in the condensed consolidated statements of operations, while $10,908,333 will be amortized in 2026 and $6,233,334 will be amortized in 2027.</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ALGC and Red Clay Measurement Period</w:t>
      </w:r>
    </w:p>
    <w:p>
      <w:pPr>
        <w:spacing w:after="0" w:line="121" w:lineRule="exact"/>
        <w:rPr>
          <w:sz w:val="20"/>
          <w:szCs w:val="20"/>
          <w:color w:val="auto"/>
        </w:rPr>
      </w:pPr>
    </w:p>
    <w:p>
      <w:pPr>
        <w:jc w:val="both"/>
        <w:ind w:firstLine="509"/>
        <w:spacing w:after="0" w:line="219" w:lineRule="exact"/>
        <w:rPr>
          <w:sz w:val="20"/>
          <w:szCs w:val="20"/>
          <w:color w:val="auto"/>
        </w:rPr>
      </w:pPr>
      <w:r>
        <w:rPr>
          <w:rFonts w:ascii="Times New Roman" w:cs="Times New Roman" w:eastAsia="Times New Roman" w:hAnsi="Times New Roman"/>
          <w:sz w:val="18"/>
          <w:szCs w:val="18"/>
          <w:color w:val="auto"/>
        </w:rPr>
        <w:t>Red Clay acquisition remain within the measurement period, which is open through October 1, 2026, while the Company continues to evaluate information related to acquisition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 fair values. The ALGC acquisition remains within the measurement period. The fair values assigned to contingent consideration, equipment, intangible assets, related deferred income tax balances, and goodwill amounts deductible for income tax purposes are preliminary and are based on the information available as of the ALGC Acquisition Date. The Company will continue to evaluate these items during the measurement period (up to 12 months from the ALGC Acquisition Date) and will record adjustments to the provisional amounts as necessary. Such adjustments may be material.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Contract Assets and Liabilities, and Provision for Contract Losses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Contract assets and liabilities consisted of the following amounts as of each period end:</w:t>
            </w:r>
          </w:p>
        </w:tc>
        <w:tc>
          <w:tcPr>
            <w:tcW w:w="2180" w:type="dxa"/>
            <w:vAlign w:val="bottom"/>
            <w:gridSpan w:val="2"/>
            <w:vMerge w:val="restart"/>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24"/>
                <w:szCs w:val="24"/>
                <w:color w:val="auto"/>
              </w:rPr>
            </w:pPr>
          </w:p>
        </w:tc>
        <w:tc>
          <w:tcPr>
            <w:tcW w:w="17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94"/>
        </w:trPr>
        <w:tc>
          <w:tcPr>
            <w:tcW w:w="5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5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6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Costs and estimated earnings in excess of billings on uncompleted</w:t>
            </w: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contracts</w:t>
            </w:r>
          </w:p>
        </w:tc>
        <w:tc>
          <w:tcPr>
            <w:tcW w:w="11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41,029,017</w:t>
            </w:r>
          </w:p>
        </w:tc>
        <w:tc>
          <w:tcPr>
            <w:tcW w:w="360" w:type="dxa"/>
            <w:vAlign w:val="bottom"/>
          </w:tcPr>
          <w:p>
            <w:pPr>
              <w:spacing w:after="0"/>
              <w:rPr>
                <w:sz w:val="20"/>
                <w:szCs w:val="20"/>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27,949,597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Conditional retainage</w:t>
            </w:r>
          </w:p>
        </w:tc>
        <w:tc>
          <w:tcPr>
            <w:tcW w:w="5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44,209,224</w:t>
            </w:r>
          </w:p>
        </w:tc>
        <w:tc>
          <w:tcPr>
            <w:tcW w:w="3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26,944,663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 assets</w:t>
            </w:r>
          </w:p>
        </w:tc>
        <w:tc>
          <w:tcPr>
            <w:tcW w:w="11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85,238,241</w:t>
            </w:r>
          </w:p>
        </w:tc>
        <w:tc>
          <w:tcPr>
            <w:tcW w:w="36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54,894,260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5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6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Billings in excess of costs and estimated earnings on uncompleted</w:t>
            </w: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contracts</w:t>
            </w:r>
          </w:p>
        </w:tc>
        <w:tc>
          <w:tcPr>
            <w:tcW w:w="11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16,733,562</w:t>
            </w:r>
          </w:p>
        </w:tc>
        <w:tc>
          <w:tcPr>
            <w:tcW w:w="360" w:type="dxa"/>
            <w:vAlign w:val="bottom"/>
          </w:tcPr>
          <w:p>
            <w:pPr>
              <w:spacing w:after="0"/>
              <w:rPr>
                <w:sz w:val="20"/>
                <w:szCs w:val="20"/>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18,792,435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Less: Conditional retainage</w:t>
            </w:r>
          </w:p>
        </w:tc>
        <w:tc>
          <w:tcPr>
            <w:tcW w:w="5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(7,085,151)</w:t>
            </w:r>
          </w:p>
        </w:tc>
        <w:tc>
          <w:tcPr>
            <w:tcW w:w="26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(8,096,518)</w:t>
            </w:r>
          </w:p>
        </w:tc>
        <w:tc>
          <w:tcPr>
            <w:tcW w:w="0" w:type="dxa"/>
            <w:vAlign w:val="bottom"/>
          </w:tcPr>
          <w:p>
            <w:pPr>
              <w:spacing w:after="0"/>
              <w:rPr>
                <w:sz w:val="1"/>
                <w:szCs w:val="1"/>
                <w:color w:val="auto"/>
              </w:rPr>
            </w:pPr>
          </w:p>
        </w:tc>
      </w:tr>
      <w:tr>
        <w:trPr>
          <w:trHeight w:val="216"/>
        </w:trPr>
        <w:tc>
          <w:tcPr>
            <w:tcW w:w="5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Provision for contract losses</w:t>
            </w:r>
          </w:p>
        </w:tc>
        <w:tc>
          <w:tcPr>
            <w:tcW w:w="5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20,961</w:t>
            </w: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58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9,669,372</w:t>
            </w:r>
          </w:p>
        </w:tc>
        <w:tc>
          <w:tcPr>
            <w:tcW w:w="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10,831,564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contract assets (liabilities)</w:t>
            </w:r>
          </w:p>
        </w:tc>
        <w:tc>
          <w:tcPr>
            <w:tcW w:w="11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75,568,869</w:t>
            </w:r>
          </w:p>
        </w:tc>
        <w:tc>
          <w:tcPr>
            <w:tcW w:w="36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44,062,696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-1151255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-1151255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-173990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-156845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-173990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Conditional retainage is a type of contract asset, but is reported in the table above and on the condensed consolidated balance sheets within “Contract assets” and “Contract liabilities” on a contract-by-contract basis. The Company's total conditional retainage receivable balance was $51,294,375 at March 31, 2026 and $35,041,181 at December 31, 2025.</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Total contract assets increased at March 31, 2026 by $30,343,981 compared to December 31, 2025 due to (1) an increase in unbilled revenue on in-process contracts due to the timing of advance billings and work progression, (2) an increase in conditional retainage from increased billings and the timing of retainage receipts, and (3) an increase of $15,908,607 of acquired contract assets from the ALGC business combination in 2026 (Note 3).</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Total contract liabilities decreased at March 31, 2026 by $1,162,192 compared to December 31, 2025 due to a decrease in the timing of advance billings and work progression, and a lower magnitude and fewer anticipated losses on customer contracts within the provision for contract losses. These decreases were partially offset by lower conditional retainage related to advanced billing contracts, as well an increase of $1,162,664 of acquired contract liabilities from the ALGC business combination in 2026 (Note 3).</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Revenue recognized during the quarters ended March 31, 2026 and 2025 that were included in the opening balance of billings in excess of costs and estimated earnings (a component of Contract liabilities) was $17,049,269, and $19,826,852, respectively.</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At March 31, 2026, the Provision for contract losses included 8 contracts, with individual contract losses ranging from less than $1,000 to $5,000. At March 31, 2025, the Provision for contract losses included 9 contracts, with individual contract losses ranging from $1,000 to $70,000. The following table presents a reconciliation of the beginning and ending balances of the Company's Provision for contract losses: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Opening balance January 1 within Contract liabilities</w:t>
            </w:r>
          </w:p>
        </w:tc>
        <w:tc>
          <w:tcPr>
            <w:tcW w:w="28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680" w:type="dxa"/>
            <w:vAlign w:val="bottom"/>
            <w:tcBorders>
              <w:top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135,647</w:t>
            </w:r>
          </w:p>
        </w:tc>
        <w:tc>
          <w:tcPr>
            <w:tcW w:w="3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4,039,488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 new loss provisions within Cost of revenues</w:t>
            </w:r>
          </w:p>
        </w:tc>
        <w:tc>
          <w:tcPr>
            <w:tcW w:w="1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Utilization - losses realized within Cost of revenues</w:t>
            </w:r>
          </w:p>
        </w:tc>
        <w:tc>
          <w:tcPr>
            <w:tcW w:w="1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(118,369)</w:t>
            </w:r>
          </w:p>
        </w:tc>
        <w:tc>
          <w:tcPr>
            <w:tcW w:w="16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(3,913,639)</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within Contract liabilities</w:t>
            </w:r>
          </w:p>
        </w:tc>
        <w:tc>
          <w:tcPr>
            <w:tcW w:w="1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20,961</w:t>
            </w: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135,647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-24765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Revenue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the Company’s remaining performance obligations were $524,049,423 and $516,764,766, respectively, all of which is expected to be recognized within the next eighteen months. As of March 31, 2026 the Company expects to recognize $494.0 million within the next 12 months and the remaining $30 million in the period from 13 to 18 months from these performance obligations. These amounts represent the aggregate amount of revenue expected to be recognized on contracts for which performance has commenced but is not yet complete. These obligations are derived from the transaction price allocated to unsatisfied or partially satisfied performance obligations under existing contracts.</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Revenue recognized in the period from performance obligations satisfied in prior periods resulted in a net increase of approximately $674,000 in 2026, and an increase of $777,000 in 2025. These changes were primarily due to the resolution of previously unresolved change orders.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 w:name="page21"/>
    <w:bookmarkEnd w:id="20"/>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three months ended March 31, 2026 and 2025, the Company's sales projects all reside within the same geographical market: North Carolina, South Carolina, and Georgia in the United States. The Company expanded its presence in the Charlotte, North Carolina market through the acquisitions of Purcell in January 2025, and Red Clay in October 2025, expanded its presence in the Greensboro, North Carolina market through the acquisition of Page in May 2025, and entered the Atlanta, Georgia market through the acquisition of ALGC in February 2026 (Note 3). The Company historically has minimal credit loss from collections and therefore believes the collections and economic risks across its customers are similar.</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customers in the Private sector primarily consist of national and regional home builders. Public sector customers include government agencies such as the department of transportation. Private sector customers comprised 93% of the Company's revenue in 2026 and 96% in 2025, while Public sector customers comprised 7% of the Company's revenue in 2026 and 4% in 2025.</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three months ended March 31, 2026 and 2025, respectively, 99% and 99% of the Company's revenue relates to fixed price contracts, with the remaining 1% and 1% relates to time and material billed contracts. Typically, there is more risk with fixed-price contracts, and unforeseen events and circumstances can alter the estimate of the costs and potential profit. However, fixed price contracts offer additional profit when the Company completes the work for less cost than originally estimated. Time and material contracts generally are subject to lower risk, and as such, the associated fees are usually lower than fees earned on fixed-price contracts.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Company's primary customer contracts are for 'turn key land development' projects that generally take 12 to 18 months to complete. Contracts that are not turn key land development will typically be for a smaller subset of the Company's services, such as for standalone paving contracts, which generally are complete in one to three months. Revenue from these short duration contracts comprised approximately 3% of the Company's revenue in 2026, and 2% in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0"/>
        </w:trPr>
        <w:tc>
          <w:tcPr>
            <w:tcW w:w="7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4"/>
                <w:szCs w:val="24"/>
                <w:color w:val="auto"/>
              </w:rPr>
            </w:pP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equipment and computers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2,008,894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1,760,490</w:t>
            </w:r>
          </w:p>
        </w:tc>
        <w:tc>
          <w:tcPr>
            <w:tcW w:w="12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Vehicles and trailers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36,319,490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30,252,251</w:t>
            </w:r>
          </w:p>
        </w:tc>
        <w:tc>
          <w:tcPr>
            <w:tcW w:w="12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156,250,241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118,867,241</w:t>
            </w:r>
          </w:p>
        </w:tc>
        <w:tc>
          <w:tcPr>
            <w:tcW w:w="12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1,230,007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1,041,123</w:t>
            </w:r>
          </w:p>
        </w:tc>
        <w:tc>
          <w:tcPr>
            <w:tcW w:w="12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10,459,146</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8,018,256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206,267,778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159,939,361</w:t>
            </w:r>
          </w:p>
        </w:tc>
        <w:tc>
          <w:tcPr>
            <w:tcW w:w="12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(80,725,787)</w:t>
            </w: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(75,037,759)</w:t>
            </w:r>
          </w:p>
        </w:tc>
      </w:tr>
      <w:tr>
        <w:trPr>
          <w:trHeight w:val="209"/>
        </w:trPr>
        <w:tc>
          <w:tcPr>
            <w:tcW w:w="774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125,541,991</w:t>
            </w: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84,901,602</w:t>
            </w:r>
          </w:p>
        </w:tc>
        <w:tc>
          <w:tcPr>
            <w:tcW w:w="120" w:type="dxa"/>
            <w:vAlign w:val="bottom"/>
            <w:tcBorders>
              <w:top w:val="single" w:sz="8" w:color="CFF0FC"/>
            </w:tcBorders>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-453390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Depreciation expense included in the condensed consolidated statements of operations was $5,702,410 and $5,071,341 for the three months ended March 31, 2026 and 2025 respectively. The Company recorded a gain of $2,397 and $110,945 on the sale of property and equipment in the condensed consolidated statements of operations for the three months ended March 31, 2026 and 2025.</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capitalized interest of $140,844 during the quarter ended March 31, 2026 to Construction in progress. No interest was capitalized in the three months ended March 31, 2025, as no qualifying construction activities were in progress.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Notes Payable &amp; Credit Facility</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Notes payable consisted of the following at March 31, 2026 and December 31, 2025, respectively:</w:t>
            </w: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191"/>
        </w:trPr>
        <w:tc>
          <w:tcPr>
            <w:tcW w:w="73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w w:val="99"/>
              </w:rPr>
              <w:t>Note payable under the October 2025 Credit Facility, bearing interest based on the Secured Overnight</w:t>
            </w:r>
          </w:p>
        </w:tc>
        <w:tc>
          <w:tcPr>
            <w:tcW w:w="38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36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118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Rate (“SOFR”) plus 2.375%, with interest payable monthly and scheduled quarterly principal</w:t>
            </w:r>
          </w:p>
        </w:tc>
        <w:tc>
          <w:tcPr>
            <w:tcW w:w="13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maturing October 31, 2030. In February 2026, the Company entered into the First</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Amendment to the Credit Agreement, which provided for an additional term loan advance of</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$80.0 million, increasing the aggregate outstanding principal balance from $120.0 million to</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$200.0 million. Quarterly principal installments of $2.5 million are due through September 30, 2027,</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$3.75 million from December 31, 2027 through September 30, 2030, with the remaining principal due as</w:t>
            </w:r>
          </w:p>
        </w:tc>
        <w:tc>
          <w:tcPr>
            <w:tcW w:w="13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 final balloon payment on October 31, 2030. The effective interest rate, inclusive of the amortization of</w:t>
            </w:r>
          </w:p>
        </w:tc>
        <w:tc>
          <w:tcPr>
            <w:tcW w:w="13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financing costs, was 6.57% at March 31, 2026.</w:t>
            </w:r>
          </w:p>
        </w:tc>
        <w:tc>
          <w:tcPr>
            <w:tcW w:w="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197,500,000</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120,000,000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Unsecured  subordinated  notes  payable  to  various  sellers.  Notes  payable  are  due  in</w:t>
            </w:r>
          </w:p>
        </w:tc>
        <w:tc>
          <w:tcPr>
            <w:tcW w:w="520" w:type="dxa"/>
            <w:vAlign w:val="bottom"/>
            <w:gridSpan w:val="2"/>
          </w:tcPr>
          <w:p>
            <w:pPr>
              <w:jc w:val="right"/>
              <w:ind w:right="320"/>
              <w:spacing w:after="0" w:line="198" w:lineRule="exact"/>
              <w:rPr>
                <w:sz w:val="20"/>
                <w:szCs w:val="20"/>
                <w:color w:val="auto"/>
              </w:rPr>
            </w:pPr>
            <w:r>
              <w:rPr>
                <w:rFonts w:ascii="Times New Roman" w:cs="Times New Roman" w:eastAsia="Times New Roman" w:hAnsi="Times New Roman"/>
                <w:sz w:val="18"/>
                <w:szCs w:val="18"/>
                <w:color w:val="auto"/>
                <w:w w:val="89"/>
              </w:rPr>
              <w:t>(a)</w:t>
            </w: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quarterly installments of $125,000 plus interest at 7% through September 2025, with $0 outstanding as</w:t>
            </w: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September 30, 2025 and (b) semi-annual payments of $25,422 including interest at 5% through July</w:t>
            </w: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2027 unless seller’s employment agreement is terminated without cause in which all principal and</w:t>
            </w: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interest would be payable immediately. The effective interest rate was 5.00% at March 31, 2026</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68,726</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880" w:type="dxa"/>
            <w:vAlign w:val="bottom"/>
            <w:gridSpan w:val="3"/>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Note payable to a financial institution, bearing interest based on Compounded SOFR, calculated daily,</w:t>
            </w:r>
          </w:p>
        </w:tc>
        <w:tc>
          <w:tcPr>
            <w:tcW w:w="13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 interest payable monthly and scheduled monthly principal amortization, maturing January 1, 2031.</w:t>
            </w:r>
          </w:p>
        </w:tc>
        <w:tc>
          <w:tcPr>
            <w:tcW w:w="13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Monthly principal installments of $7,552 are due through December 1, 2030, with the remaining</w:t>
            </w:r>
          </w:p>
        </w:tc>
        <w:tc>
          <w:tcPr>
            <w:tcW w:w="13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balance of $641,927 due as a final balloon payment on January 1, 2031. The effective interest</w:t>
            </w:r>
          </w:p>
        </w:tc>
        <w:tc>
          <w:tcPr>
            <w:tcW w:w="14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1,064,844</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1,087,500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rate was 6.20% at March 31, 2026.</w:t>
            </w:r>
          </w:p>
        </w:tc>
        <w:tc>
          <w:tcPr>
            <w:tcW w:w="3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gridSpan w:val="2"/>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Total Notes Payable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198,633,570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121,178,878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10,129,136</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6,128,674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2,605,513</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1,897,340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185,898,921</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113,152,864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7360" w:type="dxa"/>
            <w:vAlign w:val="bottom"/>
            <w:tcBorders>
              <w:top w:val="single" w:sz="8" w:color="CFF0FC"/>
            </w:tcBorders>
          </w:tcPr>
          <w:p>
            <w:pPr>
              <w:ind w:left="520"/>
              <w:spacing w:after="0"/>
              <w:rPr>
                <w:sz w:val="20"/>
                <w:szCs w:val="20"/>
                <w:color w:val="auto"/>
              </w:rPr>
            </w:pPr>
            <w:r>
              <w:rPr>
                <w:rFonts w:ascii="Times New Roman" w:cs="Times New Roman" w:eastAsia="Times New Roman" w:hAnsi="Times New Roman"/>
                <w:sz w:val="18"/>
                <w:szCs w:val="18"/>
                <w:color w:val="auto"/>
              </w:rPr>
              <w:t>Future maturities of notes payable are as follows as of March 31, 2026:</w:t>
            </w:r>
          </w:p>
        </w:tc>
        <w:tc>
          <w:tcPr>
            <w:tcW w:w="3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7,583,163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11,386,605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15,090,625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15,090,625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148,840,625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641,927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198,633,570</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-2091055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-2091055</wp:posOffset>
            </wp:positionV>
            <wp:extent cx="774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-1525270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-1508125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-1525270</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-1508125</wp:posOffset>
            </wp:positionV>
            <wp:extent cx="774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October 2025 Credit Facility</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On October 1, 2025, Cardinal NC, Cardinal and certain wholly owned subsidiaries entered into a credit facility (the "October 2025 Credit Facility") with Truist Bank, as administrative agent and lender, which provides for a $75.0 million senior secured revolving credit facility, including a $10.0 million letter of credit sub-facility and a $10.0 million swingline sub-facility, and a $120.0 million senior secured term loan facility. The October 2025 Credit Facility matures on October 1, 2030 and is secured by substantially all assets of the Company and subsidiary guarantors. Borrowings bear interest, at the borrower's option, at either the base rate, SOFR Index, or Term SOFR, plus an applicable margin ranging from 0.875% to 1.625% per annum for base rate borrowings and 1.875% to 2.625% per annum for SOFR-based borrowings, in each case based on the Company's leverage ratio. Amounts under the term loan facility amortize quarterly, commencing March 31, 2026, in aggregate annual amounts equal to 5.0% of the original principal during the first two years and 7.5% during years three through five, with the remaining balance due at maturity. The October 2025 Credit Facility contains certain financial covenants and other customary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color w:val="auto"/>
        </w:rPr>
        <w:t>affirmative and negative covenants. As of March 31, 2026 and December 31, 2025, outstanding borrowings under the term loan facility and revolving credit facility totaled $197.5 million and $120 million, respectively. As of March 31, 2026, the effective interest rate on outstanding borrowings was 6.57%. As of March 31, 2026, the Company was in compliance with all covenants under the October 2025 Credit Facility.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February 2026 Credit Facility Amendment</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February 18, 2026, Cardinal and other guarantors party thereto entered into an amendment to the October 2025 Credit Facility (the "First Amendment") with Truist Bank, as administrative agent and lender. Under the First Amendment, the lenders provided an additional $80.0 million in term loans on the amendment effective date. The additional borrowing was made to fund the acquisition of ALGC and bears interest under the same terms under the October 2025 Credit Facility. The additional advance was not provided as an incremental facility under the October 2025 Credit Facility and does not reduce the facility's remaining incremental capacity. Covenants applicable to the First Amendment are the same as those applicable to the base October 2025 Credit Facility.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October 2024 Credit Facility</w:t>
      </w:r>
    </w:p>
    <w:p>
      <w:pPr>
        <w:spacing w:after="0" w:line="121"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On October 18, 2024, Cardinal NC and certain wholly owned subsidiaries entered into a senior secured credit facility (the "October 2024 Credit Facility") with Truist Bank and Truist Equipment Finance Corp. as lenders, which consisted of a term loan facility in the aggregate principal amount of approximately $1.5 million, a revolving credit facility providing up to $10.0 million in borrowing capacity, and a master equipment security agreement evidenced by promissory notes in an initial aggregate principal amount of approximately $45.9 million. The October 2024 Credit Facility was secured by substantially all assets of the Company and subsidiary guarantors, subject to certain permitted liens and interests of other parties. Borrowings under the October 2024 Credit Facility bore interest at an Adjusted Term SOFR Rate, and the facility contained certain financial covenants and other customary affirmative and negative covenants. As of December 31, 2024, outstanding borrowings under the term loan facility totaled approximately $1.5 million, outstanding borrowings under the equipment facility totaled approximately $45.9 million, and there was no outstanding balance on the revolving credit facility. As of December 31, 2024, the Company was in compliance with all covenants under the October 2024 Credit Facility. In January 2025, the Company amended the October 2024 Credit Facility to increase borrowing capacity by $27.0 million for future purchases of equipment, trucks and trailers, and to provide additional borrowing capacity of up to $6.0 million for construction of an asphalt plant. As of September 30, 2025, outstanding borrowings under the October 2024 Credit Facility totaled approximately $80.6 million. All amounts outstanding under the October 2024 Credit Facility, totaling approximately $81.1 million as of October 1, 2025, were repaid with proceeds from the October 2025 Credit Facility, and the October 2024 Credit Facility was terminated.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2025 Financing Activity</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January 2025, the Company entered into a $7.2 million debt agreement with a financial institution in connection with the acquisition of Purcell. The note payable was secured by real property and was payable in monthly principal installments over five years with interest payable monthly based on SOFR plus 2.35%. This debt was subsequently repaid with proceeds from the October 2025 Credit Facility.</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December 2025, the Company entered into a $1,087,500 Note payable to finance equipment. Interest is based on compounded SOFR, calculated daily, with interest payable monthly and scheduled monthly principal amortization, maturing January 1, 2031. Monthly principal installments of $7,552 are due through December 1, 2030, with the remaining principal balance of $641,927 due as a final balloon payment on January 1, 2031.</w:t>
      </w:r>
    </w:p>
    <w:p>
      <w:pPr>
        <w:spacing w:after="0" w:line="6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Total interest incurred during the three months ended March 31, 2026, and 2025, was $2,875,518 and $1,088,446 respectively. Substantially all of the carrying value of assets of the Company are pledged as collateral at March 31, 2026 and December 31, 2025,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 and Risk Management Objectives</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Company is exposed to interest rate risk on its variable-rate borrowings. To manage this exposure, in January 2026, the Company entered into a pay-fixed, receive-floating interest rate swap with an initial notional amount of $60 million, reducing each quarter in proportion to 50% of the October 2025 Credit Facility. The Company has designated this instrument as a cash flow hedge of the variability in interest payments on Term SOFR debt. Under the swap, the Company pays a fixed rate of 3.80% and receives one-month Term SOFR. The swap matures on October, 2030. At inception and quarterly thereafter, the Company assesses, both prospectively and retrospectively whether the derivative is highly effective in offsetting changes in the cash flows of the hedged item. Changes in the fair value of the swap are recorded in accumulated other comprehensive income (loss) ("AOCI") and reclassified into interest expense in the same period the hedged interest payments affect earnings.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2026, the Company had recorded a liability of $554,159 as a component of other non-current liabilities representing the fair value of $59,250,000 notional for a single instrument of SOFR pay-fixed, receive-floating interest rate swap. The fair value of the swap is determined using a discounted cash flow model based on observable market inputs, including the SOFR forward curve, and is classified as Level 2 within the fair value hierarchy.</w:t>
      </w:r>
    </w:p>
    <w:p>
      <w:pPr>
        <w:spacing w:after="0" w:line="7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 Company recognized unrealized losses of $526,177 net of taxes, in OCI. Amounts reclassified from AOCI to increase interest expense was $17,813 for the same periods. The Company estimates that approximately $92,955 of net losses currently in AOCI will be reclassified into earnings over the next twelve months.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both operating and finance leases, primarily related to construction and transportation equipment, as well as office and workshop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space.</w:t>
      </w:r>
    </w:p>
    <w:p>
      <w:pPr>
        <w:spacing w:after="0" w:line="20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operating leases, right-of-use assets and lease liabilities are recognized at the commencement date. Operating lease liabilities are measured at the present value of the lease payments over the lease term. Operating right-of-use assets are calculated as the present value of the lease payments plus initial direct costs, plus any prepayments less any lease incentives received. Lease terms may include renewal or extension options to the extent they are reasonably certain to be exercised. The assessment of whether renewal or extension options are reasonably certain to be exercised is made at lease commencement.</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Factors considered in determining whether an option is reasonably certain of exercise include, but are not limited to, the value of any leasehold improvements, the value of renewal rates compared to market rates, and the presence of factors that would cause a significant economic penalty to the Company if the option were not exercised. Lease expense is recognized on a straight-line basis over the lease term.</w:t>
      </w:r>
    </w:p>
    <w:p>
      <w:pPr>
        <w:spacing w:after="0" w:line="2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assets and liabilities under the finance leases are recorded at the present value of the future minimum lease payments. The assets are amortized over the lower of their related lease terms or their estimated useful lives. Following is a summary of equipment held under the finance leases at March 31, 2026, and December 31, 2025,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10"/>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16,360,122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15,919,545</w:t>
            </w:r>
          </w:p>
        </w:tc>
        <w:tc>
          <w:tcPr>
            <w:tcW w:w="100" w:type="dxa"/>
            <w:vAlign w:val="bottom"/>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4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(10,218,141)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(9,975,175)</w:t>
            </w:r>
          </w:p>
        </w:tc>
      </w:tr>
      <w:tr>
        <w:trPr>
          <w:trHeight w:val="210"/>
        </w:trPr>
        <w:tc>
          <w:tcPr>
            <w:tcW w:w="7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6,141,981</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5,944,370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466"/>
        </w:trPr>
        <w:tc>
          <w:tcPr>
            <w:tcW w:w="7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Future minimum lease payments as of March 31, 2026 were as follows: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7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Finance Leases</w:t>
            </w:r>
          </w:p>
        </w:tc>
        <w:tc>
          <w:tcPr>
            <w:tcW w:w="100" w:type="dxa"/>
            <w:vAlign w:val="bottom"/>
          </w:tcPr>
          <w:p>
            <w:pPr>
              <w:spacing w:after="0"/>
              <w:rPr>
                <w:sz w:val="24"/>
                <w:szCs w:val="24"/>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Operating Leases</w:t>
            </w: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3,153,775</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5,029,501</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3,353,543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6,563,206</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1,562,652</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4,517,490</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894,592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2,550,382</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60,093</w:t>
            </w:r>
          </w:p>
        </w:tc>
        <w:tc>
          <w:tcPr>
            <w:tcW w:w="14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2,168,115</w:t>
            </w:r>
          </w:p>
        </w:tc>
        <w:tc>
          <w:tcPr>
            <w:tcW w:w="100" w:type="dxa"/>
            <w:vAlign w:val="bottom"/>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8,669,700</w:t>
            </w:r>
          </w:p>
        </w:tc>
        <w:tc>
          <w:tcPr>
            <w:tcW w:w="100" w:type="dxa"/>
            <w:vAlign w:val="bottom"/>
          </w:tcPr>
          <w:p>
            <w:pPr>
              <w:spacing w:after="0"/>
              <w:rPr>
                <w:sz w:val="18"/>
                <w:szCs w:val="18"/>
                <w:color w:val="auto"/>
              </w:rPr>
            </w:pPr>
          </w:p>
        </w:tc>
      </w:tr>
      <w:tr>
        <w:trPr>
          <w:trHeight w:val="210"/>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future undiscounted lease payments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9,024,655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29,498,394</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(543,618)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(6,787,381)</w:t>
            </w:r>
          </w:p>
        </w:tc>
      </w:tr>
      <w:tr>
        <w:trPr>
          <w:trHeight w:val="210"/>
        </w:trPr>
        <w:tc>
          <w:tcPr>
            <w:tcW w:w="7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8,481,037</w:t>
            </w:r>
          </w:p>
        </w:tc>
        <w:tc>
          <w:tcPr>
            <w:tcW w:w="14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22,711,013</w:t>
            </w:r>
          </w:p>
        </w:tc>
        <w:tc>
          <w:tcPr>
            <w:tcW w:w="100" w:type="dxa"/>
            <w:vAlign w:val="bottom"/>
            <w:tcBorders>
              <w:top w:val="single" w:sz="8" w:color="CFF0FC"/>
            </w:tcBorders>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1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(3,487,722)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(5,455,264)</w:t>
            </w:r>
          </w:p>
        </w:tc>
      </w:tr>
      <w:tr>
        <w:trPr>
          <w:trHeight w:val="228"/>
        </w:trPr>
        <w:tc>
          <w:tcPr>
            <w:tcW w:w="7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Long-term portion of lease liabilities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4,993,315</w:t>
            </w:r>
          </w:p>
        </w:tc>
        <w:tc>
          <w:tcPr>
            <w:tcW w:w="14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17,255,749</w:t>
            </w:r>
          </w:p>
        </w:tc>
        <w:tc>
          <w:tcPr>
            <w:tcW w:w="100" w:type="dxa"/>
            <w:vAlign w:val="bottom"/>
            <w:tcBorders>
              <w:top w:val="single" w:sz="8" w:color="CFF0FC"/>
            </w:tcBorders>
          </w:tcPr>
          <w:p>
            <w:pPr>
              <w:spacing w:after="0"/>
              <w:rPr>
                <w:sz w:val="19"/>
                <w:szCs w:val="19"/>
                <w:color w:val="auto"/>
              </w:rPr>
            </w:pPr>
          </w:p>
        </w:tc>
      </w:tr>
      <w:tr>
        <w:trPr>
          <w:trHeight w:val="630"/>
        </w:trPr>
        <w:tc>
          <w:tcPr>
            <w:tcW w:w="76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7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-2990850</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-1336675</wp:posOffset>
            </wp:positionV>
            <wp:extent cx="768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-1053465</wp:posOffset>
            </wp:positionV>
            <wp:extent cx="768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7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components of lease costs are as follows: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2"/>
        </w:trPr>
        <w:tc>
          <w:tcPr>
            <w:tcW w:w="7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For the three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For the three</w:t>
            </w:r>
          </w:p>
        </w:tc>
      </w:tr>
      <w:tr>
        <w:trPr>
          <w:trHeight w:val="216"/>
        </w:trPr>
        <w:tc>
          <w:tcPr>
            <w:tcW w:w="7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months ended</w:t>
            </w:r>
          </w:p>
        </w:tc>
      </w:tr>
      <w:tr>
        <w:trPr>
          <w:trHeight w:val="238"/>
        </w:trPr>
        <w:tc>
          <w:tcPr>
            <w:tcW w:w="7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20"/>
                <w:szCs w:val="20"/>
                <w:color w:val="auto"/>
              </w:rPr>
            </w:pPr>
          </w:p>
        </w:tc>
      </w:tr>
      <w:tr>
        <w:trPr>
          <w:trHeight w:val="209"/>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finance lease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481,724</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749,683</w:t>
            </w:r>
          </w:p>
        </w:tc>
        <w:tc>
          <w:tcPr>
            <w:tcW w:w="100" w:type="dxa"/>
            <w:vAlign w:val="bottom"/>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Interest in finance lease liabilities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81,051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113,048</w:t>
            </w:r>
          </w:p>
        </w:tc>
        <w:tc>
          <w:tcPr>
            <w:tcW w:w="100" w:type="dxa"/>
            <w:vAlign w:val="bottom"/>
          </w:tcPr>
          <w:p>
            <w:pPr>
              <w:spacing w:after="0"/>
              <w:rPr>
                <w:sz w:val="18"/>
                <w:szCs w:val="18"/>
                <w:color w:val="auto"/>
              </w:rPr>
            </w:pP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1,346,761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897,253</w:t>
            </w:r>
          </w:p>
        </w:tc>
        <w:tc>
          <w:tcPr>
            <w:tcW w:w="100" w:type="dxa"/>
            <w:vAlign w:val="bottom"/>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1,909,536</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1,759,984</w:t>
            </w:r>
          </w:p>
        </w:tc>
        <w:tc>
          <w:tcPr>
            <w:tcW w:w="100" w:type="dxa"/>
            <w:vAlign w:val="bottom"/>
            <w:shd w:val="clear" w:color="auto" w:fill="CCEEFF"/>
          </w:tcPr>
          <w:p>
            <w:pPr>
              <w:spacing w:after="0"/>
              <w:rPr>
                <w:sz w:val="18"/>
                <w:szCs w:val="18"/>
                <w:color w:val="auto"/>
              </w:rPr>
            </w:pPr>
          </w:p>
        </w:tc>
      </w:tr>
    </w:tbl>
    <w:p>
      <w:pPr>
        <w:spacing w:after="0" w:line="17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net change in ROU asset and operating lease liability is included in the net change in other assets in the condensed consolidated statements of cash flows. Other required information related to the Company’s lease obligations were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For the three</w:t>
            </w:r>
          </w:p>
        </w:tc>
        <w:tc>
          <w:tcPr>
            <w:tcW w:w="14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For the three</w:t>
            </w:r>
          </w:p>
        </w:tc>
      </w:tr>
      <w:tr>
        <w:trPr>
          <w:trHeight w:val="216"/>
        </w:trPr>
        <w:tc>
          <w:tcPr>
            <w:tcW w:w="7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4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months ended</w:t>
            </w:r>
          </w:p>
        </w:tc>
      </w:tr>
      <w:tr>
        <w:trPr>
          <w:trHeight w:val="238"/>
        </w:trPr>
        <w:tc>
          <w:tcPr>
            <w:tcW w:w="7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14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(538,528)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(599,006)</w:t>
            </w: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(1,193,081)</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(917,626)</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Assets obtained in exchange for lease obligations (non-cash)</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via finance leases</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695,897</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723,438</w:t>
            </w:r>
          </w:p>
        </w:tc>
        <w:tc>
          <w:tcPr>
            <w:tcW w:w="100" w:type="dxa"/>
            <w:vAlign w:val="bottom"/>
            <w:shd w:val="clear" w:color="auto" w:fill="CFF0FC"/>
          </w:tcPr>
          <w:p>
            <w:pPr>
              <w:spacing w:after="0"/>
              <w:rPr>
                <w:sz w:val="18"/>
                <w:szCs w:val="18"/>
                <w:color w:val="auto"/>
              </w:rPr>
            </w:pPr>
          </w:p>
        </w:tc>
      </w:tr>
      <w:tr>
        <w:trPr>
          <w:trHeight w:val="234"/>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 via operating leases</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11,767,913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1,495,491</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March 31, 2026 and March 31, 2025 the weighted-average discount rate for operating leases was 6.84% and 5.53%, respectively. The weighted-average remaining operating lease term as of March 31, 2026 and 2025, was 6.53 and 2.79 years, respectively. As of March 31, 2026 and March 31, 2025, the weighted-average discount rate for finance leases was 4.80% and 4.56%, respectively and the weighted-average remaining lease term was 2.44 years and 2.47 years, respectively.</w:t>
      </w:r>
    </w:p>
    <w:p>
      <w:pPr>
        <w:spacing w:after="0" w:line="26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of ALGC (see Note 3 – Business Combinations), the Company assumed right-of-use assets and lease liabilities which have been included in the consolidated lease balances presented herein. A description of the leases and terms as well as the fair values of the right-of-use assets and lease liabilities recognized as of the acquisition date are disclosed in Note 3.</w:t>
      </w: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Certain of the Company's lease arrangements involve related parties. See Note 16 – Related Party Transactions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 and Intangible Assets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changes in the carrying amount of goodwill are as follows:</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0"/>
        </w:trPr>
        <w:tc>
          <w:tcPr>
            <w:tcW w:w="9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9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10"/>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23,510,649</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Goodwill acquired in current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business combinations</w:t>
            </w: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105,109,288</w:t>
            </w:r>
          </w:p>
        </w:tc>
        <w:tc>
          <w:tcPr>
            <w:tcW w:w="120" w:type="dxa"/>
            <w:vAlign w:val="bottom"/>
          </w:tcPr>
          <w:p>
            <w:pPr>
              <w:spacing w:after="0"/>
              <w:rPr>
                <w:sz w:val="18"/>
                <w:szCs w:val="18"/>
                <w:color w:val="auto"/>
              </w:rPr>
            </w:pPr>
          </w:p>
        </w:tc>
      </w:tr>
      <w:tr>
        <w:trPr>
          <w:trHeight w:val="250"/>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128,619,937</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Additions to goodwill are from acquisitions detailed in Note 3 – Business Combinations. The Company did not identify any goodwill impairment triggering events during the three months ended March 31, 2026 and 2025.</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finite-lived intangible assets, including the weighted-average useful lives for each major intangible asset category and in total: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40" w:type="dxa"/>
            <w:vAlign w:val="bottom"/>
          </w:tcPr>
          <w:p>
            <w:pPr>
              <w:spacing w:after="0"/>
              <w:rPr>
                <w:sz w:val="20"/>
                <w:szCs w:val="2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5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Life</w:t>
            </w:r>
          </w:p>
        </w:tc>
        <w:tc>
          <w:tcPr>
            <w:tcW w:w="15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15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4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5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00" w:type="dxa"/>
            <w:vAlign w:val="bottom"/>
          </w:tcPr>
          <w:p>
            <w:pPr>
              <w:spacing w:after="0"/>
              <w:rPr>
                <w:sz w:val="20"/>
                <w:szCs w:val="20"/>
                <w:color w:val="auto"/>
              </w:rPr>
            </w:pPr>
          </w:p>
        </w:tc>
        <w:tc>
          <w:tcPr>
            <w:tcW w:w="16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0" w:type="dxa"/>
            <w:vAlign w:val="bottom"/>
          </w:tcPr>
          <w:p>
            <w:pPr>
              <w:spacing w:after="0"/>
              <w:rPr>
                <w:sz w:val="1"/>
                <w:szCs w:val="1"/>
                <w:color w:val="auto"/>
              </w:rPr>
            </w:pPr>
          </w:p>
        </w:tc>
      </w:tr>
      <w:tr>
        <w:trPr>
          <w:trHeight w:val="209"/>
        </w:trPr>
        <w:tc>
          <w:tcPr>
            <w:tcW w:w="1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Backlog</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$25,971,000</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$(8,551,521)</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$17,419,479</w:t>
            </w:r>
          </w:p>
        </w:tc>
        <w:tc>
          <w:tcPr>
            <w:tcW w:w="17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$7,542,000</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$(6,479,500)</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$1,062,500</w:t>
            </w:r>
          </w:p>
        </w:tc>
        <w:tc>
          <w:tcPr>
            <w:tcW w:w="0" w:type="dxa"/>
            <w:vAlign w:val="bottom"/>
          </w:tcPr>
          <w:p>
            <w:pPr>
              <w:spacing w:after="0"/>
              <w:rPr>
                <w:sz w:val="1"/>
                <w:szCs w:val="1"/>
                <w:color w:val="auto"/>
              </w:rPr>
            </w:pPr>
          </w:p>
        </w:tc>
      </w:tr>
      <w:tr>
        <w:trPr>
          <w:trHeight w:val="198"/>
        </w:trPr>
        <w:tc>
          <w:tcPr>
            <w:tcW w:w="1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Customer</w:t>
            </w:r>
          </w:p>
        </w:tc>
        <w:tc>
          <w:tcPr>
            <w:tcW w:w="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11.1</w:t>
            </w:r>
          </w:p>
        </w:tc>
        <w:tc>
          <w:tcPr>
            <w:tcW w:w="1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relationships</w:t>
            </w:r>
          </w:p>
        </w:tc>
        <w:tc>
          <w:tcPr>
            <w:tcW w:w="8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82,500,000</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(1,752,601)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80,747,399</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14,600,000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(523,808)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14,076,192</w:t>
            </w:r>
          </w:p>
        </w:tc>
        <w:tc>
          <w:tcPr>
            <w:tcW w:w="0" w:type="dxa"/>
            <w:vAlign w:val="bottom"/>
          </w:tcPr>
          <w:p>
            <w:pPr>
              <w:spacing w:after="0"/>
              <w:rPr>
                <w:sz w:val="1"/>
                <w:szCs w:val="1"/>
                <w:color w:val="auto"/>
              </w:rPr>
            </w:pPr>
          </w:p>
        </w:tc>
      </w:tr>
      <w:tr>
        <w:trPr>
          <w:trHeight w:val="216"/>
        </w:trPr>
        <w:tc>
          <w:tcPr>
            <w:tcW w:w="1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9.5</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10,071,000</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(357,014)</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9,713,986</w:t>
            </w:r>
          </w:p>
        </w:tc>
        <w:tc>
          <w:tcPr>
            <w:tcW w:w="17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0" w:type="dxa"/>
            <w:vAlign w:val="bottom"/>
          </w:tcPr>
          <w:p>
            <w:pPr>
              <w:spacing w:after="0"/>
              <w:rPr>
                <w:sz w:val="1"/>
                <w:szCs w:val="1"/>
                <w:color w:val="auto"/>
              </w:rPr>
            </w:pPr>
          </w:p>
        </w:tc>
      </w:tr>
      <w:tr>
        <w:trPr>
          <w:trHeight w:val="198"/>
        </w:trPr>
        <w:tc>
          <w:tcPr>
            <w:tcW w:w="1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Non-compete</w:t>
            </w:r>
          </w:p>
        </w:tc>
        <w:tc>
          <w:tcPr>
            <w:tcW w:w="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4.0</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(34,521)</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1,165,479</w:t>
            </w:r>
          </w:p>
        </w:tc>
        <w:tc>
          <w:tcPr>
            <w:tcW w:w="100" w:type="dxa"/>
            <w:vAlign w:val="bottom"/>
          </w:tcPr>
          <w:p>
            <w:pPr>
              <w:spacing w:after="0"/>
              <w:rPr>
                <w:sz w:val="17"/>
                <w:szCs w:val="17"/>
                <w:color w:val="auto"/>
              </w:rPr>
            </w:pPr>
          </w:p>
        </w:tc>
        <w:tc>
          <w:tcPr>
            <w:tcW w:w="16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agreements</w:t>
            </w:r>
          </w:p>
        </w:tc>
        <w:tc>
          <w:tcPr>
            <w:tcW w:w="880" w:type="dxa"/>
            <w:vAlign w:val="bottom"/>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1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9.1</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$119,742,000</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$(10,695,657)</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$109,046,343</w:t>
            </w:r>
          </w:p>
        </w:tc>
        <w:tc>
          <w:tcPr>
            <w:tcW w:w="1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$22,642,000</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$(7,128,308)</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$15,513,692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-25400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2026 and 2025 amortization expense was $3,567,348 and $1,527,500, respectively</w:t>
      </w:r>
      <w:r>
        <w:rPr>
          <w:rFonts w:ascii="Times New Roman" w:cs="Times New Roman" w:eastAsia="Times New Roman" w:hAnsi="Times New Roman"/>
          <w:sz w:val="18"/>
          <w:szCs w:val="18"/>
          <w:color w:val="FCFF0F"/>
        </w:rPr>
        <w:t>.</w:t>
      </w:r>
      <w:r>
        <w:rPr>
          <w:rFonts w:ascii="Times New Roman" w:cs="Times New Roman" w:eastAsia="Times New Roman" w:hAnsi="Times New Roman"/>
          <w:sz w:val="18"/>
          <w:szCs w:val="18"/>
          <w:color w:val="auto"/>
        </w:rPr>
        <w:t xml:space="preserve"> The estimated aggregate amortization expense for each of the next five years is as follows:</w:t>
      </w:r>
    </w:p>
    <w:p>
      <w:pPr>
        <w:spacing w:after="0" w:line="180" w:lineRule="exact"/>
        <w:rPr>
          <w:sz w:val="20"/>
          <w:szCs w:val="20"/>
          <w:color w:val="auto"/>
        </w:rPr>
      </w:pPr>
    </w:p>
    <w:tbl>
      <w:tblPr>
        <w:tblLayout w:type="fixed"/>
        <w:tblInd w:w="3780" w:type="dxa"/>
        <w:tblCellMar>
          <w:top w:w="0" w:type="dxa"/>
          <w:left w:w="0" w:type="dxa"/>
          <w:bottom w:w="0" w:type="dxa"/>
          <w:right w:w="0" w:type="dxa"/>
        </w:tblCellMar>
      </w:tblPr>
      <w:tr>
        <w:trPr>
          <w:trHeight w:val="216"/>
        </w:trPr>
        <w:tc>
          <w:tcPr>
            <w:tcW w:w="1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720" w:type="dxa"/>
            <w:vAlign w:val="bottom"/>
            <w:shd w:val="clear" w:color="auto" w:fill="CFF0FC"/>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16,955,154</w:t>
            </w:r>
          </w:p>
        </w:tc>
        <w:tc>
          <w:tcPr>
            <w:tcW w:w="80" w:type="dxa"/>
            <w:vAlign w:val="bottom"/>
            <w:shd w:val="clear" w:color="auto" w:fill="CFF0FC"/>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17,155,685</w:t>
            </w:r>
          </w:p>
        </w:tc>
        <w:tc>
          <w:tcPr>
            <w:tcW w:w="80" w:type="dxa"/>
            <w:vAlign w:val="bottom"/>
          </w:tcPr>
          <w:p>
            <w:pPr>
              <w:spacing w:after="0"/>
              <w:rPr>
                <w:sz w:val="18"/>
                <w:szCs w:val="18"/>
                <w:color w:val="auto"/>
              </w:rPr>
            </w:pPr>
          </w:p>
        </w:tc>
      </w:tr>
      <w:tr>
        <w:trPr>
          <w:trHeight w:val="216"/>
        </w:trPr>
        <w:tc>
          <w:tcPr>
            <w:tcW w:w="1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7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9,240,205</w:t>
            </w:r>
          </w:p>
        </w:tc>
        <w:tc>
          <w:tcPr>
            <w:tcW w:w="80" w:type="dxa"/>
            <w:vAlign w:val="bottom"/>
            <w:shd w:val="clear" w:color="auto" w:fill="CFF0FC"/>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7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9,240,205</w:t>
            </w:r>
          </w:p>
        </w:tc>
        <w:tc>
          <w:tcPr>
            <w:tcW w:w="80" w:type="dxa"/>
            <w:vAlign w:val="bottom"/>
          </w:tcPr>
          <w:p>
            <w:pPr>
              <w:spacing w:after="0"/>
              <w:rPr>
                <w:sz w:val="18"/>
                <w:szCs w:val="18"/>
                <w:color w:val="auto"/>
              </w:rPr>
            </w:pPr>
          </w:p>
        </w:tc>
      </w:tr>
      <w:tr>
        <w:trPr>
          <w:trHeight w:val="216"/>
        </w:trPr>
        <w:tc>
          <w:tcPr>
            <w:tcW w:w="1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7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8,980,685</w:t>
            </w:r>
          </w:p>
        </w:tc>
        <w:tc>
          <w:tcPr>
            <w:tcW w:w="80" w:type="dxa"/>
            <w:vAlign w:val="bottom"/>
            <w:shd w:val="clear" w:color="auto" w:fill="CFF0FC"/>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7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47,474,409</w:t>
            </w:r>
          </w:p>
        </w:tc>
        <w:tc>
          <w:tcPr>
            <w:tcW w:w="80" w:type="dxa"/>
            <w:vAlign w:val="bottom"/>
          </w:tcPr>
          <w:p>
            <w:pPr>
              <w:spacing w:after="0"/>
              <w:rPr>
                <w:sz w:val="18"/>
                <w:szCs w:val="18"/>
                <w:color w:val="auto"/>
              </w:rPr>
            </w:pPr>
          </w:p>
        </w:tc>
      </w:tr>
      <w:tr>
        <w:trPr>
          <w:trHeight w:val="250"/>
        </w:trPr>
        <w:tc>
          <w:tcPr>
            <w:tcW w:w="1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shd w:val="clear" w:color="auto" w:fill="CFF0FC"/>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109,046,343</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-24765</wp:posOffset>
            </wp:positionV>
            <wp:extent cx="431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431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 and Noncontrolling Interest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Subsequent to the IPO, the equity of the authorized capital of Cardinal Infrastructure Group Inc. comprises of Class A Common Stock, Class B Common Stock and Preferred Stock.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 Common Stock</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Cardinal Infrastructure Group Inc.’s amended and restated certificate of incorporation authorizes the issuance of 500,000,000 shares of Class A Common Stock with a par value of $0.0001 per share. Each share of Class A Common Stock entitles its holder to one vote per share on all matters presented to Cardinal Infrastructure Group Inc.’s stockholders. Holders of Class A Common Stock are entitled to receive dividends when, as and if declared by the Board of Directors of Cardinal Infrastructure Group Inc. As of March 31, 2026, there were 15,292,984 shares of Class A Common Stock issued and outstanding.</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B Common Stock</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Cardinal Infrastructure Group Inc.’s amended and restated certificate of incorporation authorizes the issuance of 500,000,000 shares of Class B Common Stock with a par value of $0.0001 per share. Each share of Class B Common Stock entitles its holder to one vote per share on all matters presented to Cardinal Infrastructure Group Inc.’s stockholders. Shares of Class B Common Stock have no economic rights, including no right to receive dividends or distributions upon a liquidation of Cardinal Infrastructure Group Inc. Shares of Class B Common Stock may only be held by the Continuing Equity Holders and their respective permitted transferees. As of March 31, 2026, there were 27,573,875 shares of Class B Common Stock issued and outstanding.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Cardinal Infrastructure Group Inc.’s amended and restated certificate of incorporation authorizes the issuance of 10,000,000 shares of preferred stock with a par value of $0.0001 per share. The preferred stock may be issued by the Board of Directors in one or more series without stockholder approval, with such designations, voting powers, preferences, and relative,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participating, optional and other special rights as shall be set forth in the resolutions providing for the issuance thereof. As of March 31, 2026, no shares of preferred stock were issued or outstanding.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Cardinal’s ("OpCo's") amended and restated operating agreement provides that the Continuing Equity Holders have the right (the “Redemption Right”) to cause OpCo to redeem all or a portion of their Class B LLC units, together with a corresponding number of shares of Class B Common Stock, for newly issued shares of Cardinal Infrastructure Group Inc.'s Class A Common Stock on a one-for-one basis (subject to customary adjustments for stock splits, stock dividends, and reclassifications). Alternatively, Cardinal Infrastructure Group Inc. may, at its option (the “Call Right”), elect to directly acquire the tendered LLC units and Class B Common Stock from the Continuing Equity Holder in exchange for Class A Common Stock on the same one-for-one basis.</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lieu of a share settlement, Cardinal Infrastructure Group Inc. (through at least two of its independent directors within the meaning of the Nasdaq listing rules who are disinterested) may elect to settle a redemption or exchange in cash. The cash settlement is limited to the lower of cash received from a secondary offering of equity securities, and the trailing ten-day volume-weighted average price. If Cardinal Infrastructure Group Inc. does not timely deliver an election notice, Cardinal Infrastructure Group Inc. is deemed to have elected the share settlement method.</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Upon any such redemption or exchange, a corresponding number of shares of Class B Common Stock held by the exchanging Continuing Equity Holder is automatically transferred to the Company and cancelled. Any such exchange of LLC units for Class A Common Stock is accounted for as an equity transaction in accordance with ASC 810-10-45-23, with no gain or loss recognized. The LLC interests are not classified as temporary equity as the cash settlement is limited to the proceeds from a new offering of Class A Common Stock which is equity-classified.</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Cardinal Infrastructure Group Inc. holds 100% of the voting rights of OpCo, is the sole managing member of OpCo and consolidates the financial results of OpCo. A portion of OpCo’s net income or loss is attributed to the noncontrolling interests based on the weighted average percentage of LLC units held by the Continuing Equity Holders relative to all outstanding LLC units during the period. The noncontrolling interests’ share of equity is based on the LLC units held by the Continuing Equity Holders as a percentage of all outstanding LLC units as of the balance sheet date. The noncontrolling interests’ ownership percentage may change over time as Continuing Equity Holders exchange LLC units for shares of Class A Common Stock.</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acquisition of ALGC (refer to Note 3), OpCo issued 4,186,062 Class B LLC units to the Seller as rollover equity, together with an equal number of shares of the Company's Class B Common Stock, par value $0.0001 per share. The Common Units and corresponding Class B Common Stock were valued at $102,809,683 based on the closing share price of the Company's Class A Common Stock of $24.56 on the acquisition date and were accounted for as consideration transferred in the business combination in accordance with ASC 805. The issuance of these Common Units increased the noncontrolling interests' ownership in OpCo, with the noncontrolling interests' share of equity determined based on the relative ownership percentages of LLC units outstanding as of the acquisition date</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Additionally, we received 345,666 LLC interests in OpCo in connection with activity under 2025 Stock Incentive Plan.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ownership of LLC units of OpCo as of March 31, 2026 and December 31, 2025:</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2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580" w:type="dxa"/>
            <w:vAlign w:val="bottom"/>
          </w:tcPr>
          <w:p>
            <w:pPr>
              <w:spacing w:after="0"/>
              <w:rPr>
                <w:sz w:val="20"/>
                <w:szCs w:val="20"/>
                <w:color w:val="auto"/>
              </w:rPr>
            </w:pPr>
          </w:p>
        </w:tc>
        <w:tc>
          <w:tcPr>
            <w:tcW w:w="3940" w:type="dxa"/>
            <w:vAlign w:val="bottom"/>
            <w:gridSpan w:val="4"/>
          </w:tcPr>
          <w:p>
            <w:pPr>
              <w:jc w:val="right"/>
              <w:ind w:right="15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500" w:type="dxa"/>
            <w:vAlign w:val="bottom"/>
          </w:tcPr>
          <w:p>
            <w:pPr>
              <w:spacing w:after="0"/>
              <w:rPr>
                <w:sz w:val="20"/>
                <w:szCs w:val="20"/>
                <w:color w:val="auto"/>
              </w:rPr>
            </w:pPr>
          </w:p>
        </w:tc>
        <w:tc>
          <w:tcPr>
            <w:tcW w:w="204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r>
      <w:tr>
        <w:trPr>
          <w:trHeight w:val="230"/>
        </w:trPr>
        <w:tc>
          <w:tcPr>
            <w:tcW w:w="3580" w:type="dxa"/>
            <w:vAlign w:val="bottom"/>
          </w:tcPr>
          <w:p>
            <w:pPr>
              <w:spacing w:after="0"/>
              <w:rPr>
                <w:sz w:val="20"/>
                <w:szCs w:val="20"/>
                <w:color w:val="auto"/>
              </w:rPr>
            </w:pPr>
          </w:p>
        </w:tc>
        <w:tc>
          <w:tcPr>
            <w:tcW w:w="15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LLC Units</w:t>
            </w:r>
          </w:p>
        </w:tc>
        <w:tc>
          <w:tcPr>
            <w:tcW w:w="120" w:type="dxa"/>
            <w:vAlign w:val="bottom"/>
            <w:tcBorders>
              <w:top w:val="single" w:sz="8" w:color="auto"/>
            </w:tcBorders>
          </w:tcPr>
          <w:p>
            <w:pPr>
              <w:spacing w:after="0"/>
              <w:rPr>
                <w:sz w:val="20"/>
                <w:szCs w:val="20"/>
                <w:color w:val="auto"/>
              </w:rPr>
            </w:pPr>
          </w:p>
        </w:tc>
        <w:tc>
          <w:tcPr>
            <w:tcW w:w="1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Ownership %</w:t>
            </w:r>
          </w:p>
        </w:tc>
        <w:tc>
          <w:tcPr>
            <w:tcW w:w="400" w:type="dxa"/>
            <w:vAlign w:val="bottom"/>
          </w:tcPr>
          <w:p>
            <w:pPr>
              <w:spacing w:after="0"/>
              <w:rPr>
                <w:sz w:val="20"/>
                <w:szCs w:val="20"/>
                <w:color w:val="auto"/>
              </w:rPr>
            </w:pPr>
          </w:p>
        </w:tc>
        <w:tc>
          <w:tcPr>
            <w:tcW w:w="15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LLC Units</w:t>
            </w:r>
          </w:p>
        </w:tc>
        <w:tc>
          <w:tcPr>
            <w:tcW w:w="120" w:type="dxa"/>
            <w:vAlign w:val="bottom"/>
            <w:tcBorders>
              <w:top w:val="single" w:sz="8" w:color="auto"/>
            </w:tcBorders>
          </w:tcPr>
          <w:p>
            <w:pPr>
              <w:spacing w:after="0"/>
              <w:rPr>
                <w:sz w:val="20"/>
                <w:szCs w:val="20"/>
                <w:color w:val="auto"/>
              </w:rPr>
            </w:pPr>
          </w:p>
        </w:tc>
        <w:tc>
          <w:tcPr>
            <w:tcW w:w="19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Ownership %</w:t>
            </w:r>
          </w:p>
        </w:tc>
        <w:tc>
          <w:tcPr>
            <w:tcW w:w="180" w:type="dxa"/>
            <w:vAlign w:val="bottom"/>
          </w:tcPr>
          <w:p>
            <w:pPr>
              <w:spacing w:after="0"/>
              <w:rPr>
                <w:sz w:val="20"/>
                <w:szCs w:val="20"/>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Cardinal Infrastructure Group Inc.</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15,292,984</w:t>
            </w:r>
          </w:p>
        </w:tc>
        <w:tc>
          <w:tcPr>
            <w:tcW w:w="24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35.68%</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14,947,318</w:t>
            </w:r>
          </w:p>
        </w:tc>
        <w:tc>
          <w:tcPr>
            <w:tcW w:w="22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39.00%</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Continuing Equity Holders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27,573,875</w:t>
            </w:r>
          </w:p>
        </w:tc>
        <w:tc>
          <w:tcPr>
            <w:tcW w:w="24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64.32%</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23,387,813</w:t>
            </w:r>
          </w:p>
        </w:tc>
        <w:tc>
          <w:tcPr>
            <w:tcW w:w="2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61.00%</w:t>
            </w: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42,866,859</w:t>
            </w:r>
          </w:p>
        </w:tc>
        <w:tc>
          <w:tcPr>
            <w:tcW w:w="24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38,335,131</w:t>
            </w:r>
          </w:p>
        </w:tc>
        <w:tc>
          <w:tcPr>
            <w:tcW w:w="22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Subsidiaries and Pre-IPO Noncontrolling Interests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conducts its operations through Cardinal NC and the following wholly owned subsidiaries: Aviator Paving Company, LLC (“APC”), providing integrated paving services; Civil Transport, LLC (“CT”), providing transport services; Cardinal Civil Contracting NC, LLC (“CCCNC”), providing grading services; Civil Drilling &amp; Blasting, LLC (“CDB”), providing drilling and blasting services; Cardinal Civil Contracting Charlotte, LLC (“CCCC”), providing expanded operations in the Charlotte, North Carolina region; Cardinal Civil Contracting Triad, LLC (“Triad”), providing expanded operations in the Greensboro, North Carolina region; Civil Underground and Boring Company, LLC (“Boring Newco”), established for</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jc w:val="both"/>
        <w:spacing w:after="0" w:line="282" w:lineRule="auto"/>
        <w:rPr>
          <w:sz w:val="20"/>
          <w:szCs w:val="20"/>
          <w:color w:val="auto"/>
        </w:rPr>
      </w:pPr>
      <w:r>
        <w:rPr>
          <w:rFonts w:ascii="Times New Roman" w:cs="Times New Roman" w:eastAsia="Times New Roman" w:hAnsi="Times New Roman"/>
          <w:sz w:val="18"/>
          <w:szCs w:val="18"/>
          <w:color w:val="auto"/>
        </w:rPr>
        <w:t>underground utility and boring services; and Aviator Paving Company Charlotte, LLC (“APCC”), providing expanded paving operations in the Charlotte market. All subsidiaries were wholly owned by Cardinal NC as of March 31, 2026.</w:t>
      </w:r>
    </w:p>
    <w:p>
      <w:pPr>
        <w:spacing w:after="0" w:line="5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Prior to the September 2025 Reorganization, Cardinal NC held majority but not 100% ownership interests in several of its subsidiaries. Aviator Paving Company, LLC (“APC”), formed in 2018 to provide integrated paving subcontracted services, was 60% owned by Cardinal NC. Cardinal Civil Contracting NC, LLC (“CCCNC”), formed in 2016 to provide grading services, was approximately 70% owned. Civil Drilling &amp; Blasting, LLC (“CDB”), formed in 2022 to provide drilling and blasting services, was 90% owned. Cardinal Civil Contracting Charlotte, LLC (“CCCC”), formed in 2023 to expand operations in the Charlotte, North Carolina region through acquisitions, was approximately 75% owned after giving effect to the issuance of nonvoting units as consideration for the Purcell acquisition in January 2025. Cardinal Civil Contracting Triad, LLC (“Triad”), formed in 2025 to expand operations in the Greensboro, North Carolina region through acquisitions, was 80% owned following the issuance of nonvoting units as consideration for the Page acquisition. Civil Underground and Boring Company, LLC (“Boring Newco”), formed in March 2025 to expand into underground utility and boring services, was 70% owned following the issuance of Class B units as consideration for the contribution of certain assets by MJS &amp; GCP, LLC. The minority equity holders in these subsidiaries were reported as noncontrolling interests in the condensed consolidated financial statements for periods prior to September 30, 2025. Effective September 30, 2025, in connection with the September 2025 Reorganization, these minority equity holders became members of Cardinal and the subsidiaries became wholly owned by Cardinal NC. The acquisition of these pre-IPO noncontrolling interests was accounted for as equity transactions in accordance with ASC 810-10-45-23, with carrying amounts reclassified to members’ equity with no gain or loss recognized.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Stock Incentive Plan</w:t>
      </w:r>
    </w:p>
    <w:p>
      <w:pPr>
        <w:spacing w:after="0" w:line="121" w:lineRule="exact"/>
        <w:rPr>
          <w:sz w:val="20"/>
          <w:szCs w:val="20"/>
          <w:color w:val="auto"/>
        </w:rPr>
      </w:pPr>
    </w:p>
    <w:p>
      <w:pPr>
        <w:jc w:val="both"/>
        <w:ind w:firstLine="509"/>
        <w:spacing w:after="0" w:line="220" w:lineRule="exact"/>
        <w:rPr>
          <w:sz w:val="20"/>
          <w:szCs w:val="20"/>
          <w:color w:val="auto"/>
        </w:rPr>
      </w:pPr>
      <w:r>
        <w:rPr>
          <w:rFonts w:ascii="Times New Roman" w:cs="Times New Roman" w:eastAsia="Times New Roman" w:hAnsi="Times New Roman"/>
          <w:sz w:val="18"/>
          <w:szCs w:val="18"/>
          <w:color w:val="auto"/>
        </w:rPr>
        <w:t>Cardinal Infrastructure Group Inc. adopted the 2025 Stock Incentive Plan (the “2025 Plan”) on November 13, 2025, with stockholder approval on the same date. The 2025 Plan is designed to attract, retain, and motivate employees, officers, directors, and consultants by providing for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aligned with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stockholder value. It authorizes up to 3,660,656 shares of Class A common stock for issuance, with the share reserve eligible for an automatic annual increase of up to 5% of outstanding shares beginning with the first fiscal year after the Company’s registration date, unless the Compensation Committee elects otherwise. Shares underlying awards that are forfeited, canceled, expired, or settled in cash are returned to the plan.</w:t>
      </w:r>
    </w:p>
    <w:p>
      <w:pPr>
        <w:spacing w:after="0" w:line="93" w:lineRule="exact"/>
        <w:rPr>
          <w:sz w:val="20"/>
          <w:szCs w:val="20"/>
          <w:color w:val="auto"/>
        </w:rPr>
      </w:pPr>
    </w:p>
    <w:p>
      <w:pPr>
        <w:jc w:val="both"/>
        <w:ind w:firstLine="509"/>
        <w:spacing w:after="0" w:line="220" w:lineRule="exact"/>
        <w:rPr>
          <w:sz w:val="20"/>
          <w:szCs w:val="20"/>
          <w:color w:val="auto"/>
        </w:rPr>
      </w:pPr>
      <w:r>
        <w:rPr>
          <w:rFonts w:ascii="Times New Roman" w:cs="Times New Roman" w:eastAsia="Times New Roman" w:hAnsi="Times New Roman"/>
          <w:sz w:val="18"/>
          <w:szCs w:val="18"/>
          <w:color w:val="auto"/>
        </w:rPr>
        <w:t>The 2025 Plan may be used to grant stock options (both incentive and nonqualified), restricted stock, restricted stock units, stock appreciation rights, and other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It is administered by the Board of Directors or a designated committee, which has broad authority to determine award terms, vesting conditions, performance goals, and to interpret the plan, including the ability to accelerate vesting in certain circumstances. The 2025 Plan includes a detailed definition of a Change in Control, covering specified acquisitions of voting power, board turnover, mergers, consolidations, and significant asset transactions. The plan will remain in effect until November 13, 2035, unless earlier terminated or extended.</w:t>
      </w:r>
    </w:p>
    <w:p>
      <w:pPr>
        <w:spacing w:after="0" w:line="9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acquisition of ALGC (refer to Note 3), the Company issued 345,666 shares of Class A Common Stock, par value $0.0001 per share, from its 2025 Stock Incentive Plan to employees of, and service providers to, ALGC at the direction of the selling shareholders. The shares were fully vested at issuance and were not subject to any service or other vesting conditions. Because the shares were issued at the direction of the selling shareholders to settle existing arrangements with the recipients, they were treated as consideration transferred in the business combination rather than post-combination compensation expense. The shares were valued at $8,489,557, based on the Company's closing share price of $24.56 on the acquisition date.</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in addition to the ALGC Class A awards, the December 2025 Director Stock Awards, and the 2026 Director Retainer awards discussed below were issued under the Plan. As of March 31, 2026 there were 3,276,757 shares of Class A common stock available for issuance under the plan.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December 2025 Director Stock Awards &amp; 2026 Retainer Awards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November 2025, the Board of Directors approved a Non-Employee Director Compensation Program under which directors receive annual cash retainers and equity grants pursuant to the 2025 Stock Incentive Plan. Each non-employee director is entitled to an annual cash retainer of $75,000 and an annual grant of restricted stock units (RSUs) with a grant date fair value of $100,000, generally awarded at the Company’s annual meeting and vesting on the earlier of the next annual meeting or the first anniversary of the grant date. Committee chairpersons receive an additional annual RSU grant valued at $12,500, and other committee members receive RSUs valued at $5,000 annually. Directors may elect to receive their cash retainer in the form of RSUs, which vest quarterly. In connection with the Company’s IPO, newly appointed directors received RSU grants with a fair value of $18,750 (in lieu of a prorated cash retainer for 2025), vesting on December 31, 2025, as well as RSUs valued at $100,000 plus applicable committee grants, each vesting on the first anniversary of the grant date.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Prior to the Non-Employee Director Compensation Program the directors elected to receive their 2025 cash retainer in the form of RSUs. As a result of this election, the Company recognized an additional grant of 12,404 RSU’s in the three months ended March 2025 and recognized $191,852 of stock-based compensation expense. The fair value of the restricted stock units was based on the Company’s closing share price on December 31, 2025 of $24.18 per share, which represents a Level 1 input under the fair value hierarchy.</w:t>
      </w:r>
    </w:p>
    <w:p>
      <w:pPr>
        <w:spacing w:after="0" w:line="72" w:lineRule="exact"/>
        <w:rPr>
          <w:sz w:val="20"/>
          <w:szCs w:val="20"/>
          <w:color w:val="auto"/>
        </w:rPr>
      </w:pPr>
    </w:p>
    <w:p>
      <w:pPr>
        <w:jc w:val="both"/>
        <w:ind w:firstLine="509"/>
        <w:spacing w:after="0" w:line="222" w:lineRule="exact"/>
        <w:rPr>
          <w:sz w:val="20"/>
          <w:szCs w:val="20"/>
          <w:color w:val="auto"/>
        </w:rPr>
      </w:pPr>
      <w:r>
        <w:rPr>
          <w:rFonts w:ascii="Times New Roman" w:cs="Times New Roman" w:eastAsia="Times New Roman" w:hAnsi="Times New Roman"/>
          <w:sz w:val="18"/>
          <w:szCs w:val="18"/>
          <w:color w:val="auto"/>
        </w:rPr>
        <w:t>As of March 31, 2026, the Company had $547,380 of unrecognized compensation cost related to 31,565 unvested awards, based on a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grant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 fair value of $21.93 per award. This amount is expected to be recognized over a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period of 12 months, corresponding to the remaining service period through December 31, 2026.</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Changes in Accounting Estimates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Accounting for customer construction contracts requires the use of various estimation techniques to determine total contract revenue and costs. The Company's cost-to-cost method for recognizing revenue include estimates and assumptions about future events, including labor productivity and availability, material costs and availability, and the complexity of work to be performed.</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Estimates are updated as conditions evolve. Changes in job performance, site conditions, subcontractor performance, and scope modifications may result in revisions to estimated costs and profitability. The accuracy of revenue and profit recognition in any period depends on the reliability of these estimates. Because the Company manages a portfolio of contracts of varying size and complexity, changes in individual contract estimates may offset each other. However, significant changes in estimates can materially affect reported profitability.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factors contributing to changes in contract estimates include:</w:t>
      </w:r>
    </w:p>
    <w:p>
      <w:pPr>
        <w:spacing w:after="0" w:line="117"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Completeness and accuracy of original bids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changes and related cost recognition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overhead from customer or weather-related delays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Subcontractor and supplier performance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 conditions differing from bid assumptions (where contract remedies are unavailable)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availability and skill levels in project geographies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availability and proximity</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These factors, along with the stage of completion and margin mix of contracts in progress, may cause fluctuations in gross profit between periods, which can be significant.</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Changes in estimates of contract revenue, cost, or extent of completion are accounted for in the period the changes become known. Such changes are considered normal recurring adjustments inherent in the cost-to-cost revenue recognition method. The effect of changes in estimates for contracts in progress at December 31, 2025 increased revenue for the quarter ended March 31, 2026 by $4,728,186. The effect of changes in estimates for contracts in progress at December 31, 2024 increased revenue for the quarter ended March 31, 2025 by $821,195.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 and Tax Receivable Agreement</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is subject to U.S. federal, state and local income taxes on its taxable income, including its allocable share of the taxable income of Cardinal Civil Contracting Holdings LLC (“OpCo”), and is taxed at the applicable corporate income tax rates. The Company’s actual effective tax rate is affected by its ownership percentage in OpCo, which will increase over time as continuing OpCo owners redeem or exchange their LLC interests for shares of PubCo's Class A common stock (together with cancellation of an equal number of Class B shares), or as the Company acquires LLC interests directly from such continuing OpCo owners.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the Company consolidates OpCo for financial reporting purposes, its consolidated effective tax rate will vary from period to period based on multiple factors, including changes in the Company’s ownership of OpCo, the geographic mix of earnings, changes in tax law, and differences in tax rates among jurisdictions. The Company’s income tax provision includes U.S. federal, state, local and foreign income taxes, as applicable.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At the end of each interim period, the Company estimates the effective tax rate expected to be applicable for the full fiscal year and this rate is applied to the results for the year-to-date period, and then adjusted for any discrete period items.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 period ended March 31, 2026, the Company calculated an annual effective tax rate of 8.40% on pre-tax book income of $12,534,265 and booked a total tax expense of $1,053,229.</w:t>
      </w:r>
    </w:p>
    <w:p>
      <w:pPr>
        <w:spacing w:after="0" w:line="5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Company's sole material asset is its investment in OpCo, which is treated as a partnership for U.S. income tax purposes and for purposes of certain jurisdictional income taxes. OpCo's net taxable income and any related tax credits are passed through to its partners and are included in the partners' tax returns, even though such net taxable income or tax credits may not have actually been distributed. While the Company consolidates OpCo for financial reporting purposes, the Company will be taxed on its share of earnings of OpCo not attributed to the noncontrolling interest holders, which will continue to bear their share of income tax on allocable earnings of OpCo. The income tax burden on the earnings taxed to the noncontrolling interest holders is not reported by the Company in its condensed consolidated financial statements under GAAP. As a result, the Company's effective tax rate differs materially from the statutory rate. The primary factor impacting the effective tax rate is income attributable to noncontrolling interests that is not subject to corporate income tax and non-deductible expenses. For the three month period ended March 31, 2025, and prior to the completion of the Company's IPO, Cardinal NC was organized as a limited liability company and treated as a partnership for U.S. federal and state income tax purposes. As a pass-through entity, Cardinal NC was not subject to U.S. federal corporate income tax, and no provision for corporate income taxes was recorded.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connection with the IPO and Reorganization Transactions, PubCo entered into a tax receivable agreement (the “Tax Receivable Agreement”) with Cardinal Civil Contracting Holdings LLC and the Continuing Equity Holders, which provides for the payment by PubCo to a Continuing Equity Holders of 85% of the amount of U.S. federal, state and local income or franchise tax savings, if any, that PubCo actually realizes (or in some circumstances is deemed to realize) as a result of (i) increases in the tax basis of Cardinal Civil Contracting Holdings LLC’s assets resulting from (a) the purchase of LLC interests from such Continuing Equity Holders, including with the net proceeds from the IPO and any subsequent offerings or (b) redemptions or exchanges by such Continuing Equity Holders of LLC interests for shares of Class A common stock or for cash, as applicable, and (ii) certain other tax benefits related to PubCo making payments under the Tax Receivable Agreement. Payments under the Tax Receivable Agreement are due within five (5) business days after delivery of the applicable schedule calculating the realized tax benefits and related payment amount, once such schedule becomes final in accordance with the Tax Receivable Agreement. The benefit schedule is required to be delivered within one hundred eighty (180) calendar days after the due date (including extensions) of the applicable annual federal income tax return for the relevant taxable year, and payments are based on the actual tax savings realized by PubCo. Substantially all payments due under the Tax Receivable Agreement are payable over fifteen years following the purchase of LLC interests from Continuing Equity Holders or redemption or exchanges by Continuing Equity Holder of LLC interests. The Company will account for the income tax effects resulting from taxable redemptions or exchanges of LLC interests by Continuing Equity Holder owners for shares of Class A common stock or cash, as the case may be, and purchases by PubCo of LLC interests from Continuing Equity Holders owners by recognizing an increase in deferred tax assets, based on enacted tax rates at the date of each redemption, exchange, or purchase, as the case may be. Further, PubCo evaluates the likelihood that it will realize the benefit represented by the deferred tax asset, and, to the extent that the PubCo estimates that it is more likely than not that it will not realize the benefit, it reduces the carrying amount of the deferred tax asset with a valuation allowance. The impact of any changes in the total projected obligations recorded under the Tax Receivable Agreement as a result of actual changes in the mix of the Company’s earnings, tax legislation and tax rates in various jurisdictions, or other factors that may impact PubCo's actual tax savings realized, will be reflected in income before taxes on the condensed consolidated statements of operations in the period in which the change occurs.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part of the ALGC acquisition on February 18, 2026, Diamond Interests Group LLC and the Seller Owners became parties to the pre-existing TRA as Continuing Equity Holders upon the issuance of their 4,186,062 OpCo units (rollover equity). Additionally, concurrently with the acquisition of ALGC, the company entered into a TBA with the Seller Owners. In connection with the accounting for ALGC acquisition, the Company recorded a fair value of $15.3 million for both the TRA and TBA liability as contingent consideration. See Note 3 for details on the valuation assumptions.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March 31, 2026, the tax receivable agreement liability on the condensed consolidated balance sheet totaled $39,423,529 which represents the Company's estimate of 85% of the amount of tax benefits, if any, that the Company expects to realize (or in some circumstances is deemed to realize) related to the tax basis adjustments as such savings are realized. As each of the Continuing Equity Owners elects to convert their remaining LLC Interests into Class A common stock, the Company will succeed to their aggregate historical tax basis which will create a net tax benefit to the Company. These tax benefits are expected to be amortized over 15.0 years pursuant to Sections 743(b) and 197 of the Code. The Company will only recognize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a deferred tax asset for financial reporting purposes when it is more likely than not that the tax benefit will be realized. The actual amount of deferred tax assets and related liabilities that we will recognize will differ based on, among other things, the timing of the exchanges, the price per share of our Class A common stock at the time of the exchange, and the tax rates then in effect.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Earnings Per Share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attributable to Cardinal Infrastructure Group Inc. by the weighted-average number of shares of Class A common stock outstanding during the period. Diluted earnings per share is computed by adjusting the net income available to Cardinal Infrastructure Group Inc. and the weighted average shares outstanding to give effect to potentially dilutive securities. Shares of Class B common stock are not entitled to receive any distributions or dividends and are therefore excluded from this presentation since they are not participating securities.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a result of the acquisition, all continuing equity holders were exchanged for Class B non-participating securities. All earnings prior to December 10, 2025, the date of the IPO, were entirely allocable to the non-controlling interests and LLC owners, as a result, earnings per share information is not applicable for reporting periods prior to this date. Consequently, only earnings per share for net income for periods subsequent to December 9, 2025 are presented.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Basic and diluted earnings per share of common stock have been computed as follows:</w:t>
            </w:r>
          </w:p>
        </w:tc>
        <w:tc>
          <w:tcPr>
            <w:tcW w:w="140" w:type="dxa"/>
            <w:vAlign w:val="bottom"/>
          </w:tcPr>
          <w:p>
            <w:pPr>
              <w:spacing w:after="0"/>
              <w:rPr>
                <w:sz w:val="20"/>
                <w:szCs w:val="20"/>
                <w:color w:val="auto"/>
              </w:rPr>
            </w:pPr>
          </w:p>
        </w:tc>
        <w:tc>
          <w:tcPr>
            <w:tcW w:w="2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194"/>
        </w:trPr>
        <w:tc>
          <w:tcPr>
            <w:tcW w:w="9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0" w:type="dxa"/>
            <w:vAlign w:val="bottom"/>
          </w:tcPr>
          <w:p>
            <w:pPr>
              <w:spacing w:after="0"/>
              <w:rPr>
                <w:sz w:val="1"/>
                <w:szCs w:val="1"/>
                <w:color w:val="auto"/>
              </w:rPr>
            </w:pPr>
          </w:p>
        </w:tc>
      </w:tr>
      <w:tr>
        <w:trPr>
          <w:trHeight w:val="209"/>
        </w:trPr>
        <w:tc>
          <w:tcPr>
            <w:tcW w:w="9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Numerator:</w:t>
            </w:r>
          </w:p>
        </w:tc>
        <w:tc>
          <w:tcPr>
            <w:tcW w:w="1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Cardinal Infrastructure Group Inc., Basic and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Denominator:</w:t>
            </w: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of common stock outstanding, Basic</w:t>
            </w:r>
          </w:p>
        </w:tc>
        <w:tc>
          <w:tcPr>
            <w:tcW w:w="14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15,104,788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Dilutive effects of:</w:t>
            </w: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Unvested RSUs</w:t>
            </w:r>
          </w:p>
        </w:tc>
        <w:tc>
          <w:tcPr>
            <w:tcW w:w="14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shares of common stock outstanding, Diluted</w:t>
            </w:r>
          </w:p>
        </w:tc>
        <w:tc>
          <w:tcPr>
            <w:tcW w:w="1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15,126,679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dilutive impact of 27,573,875 LLC interests that are exchangeable for Class A common stock is not included in the calculation of diluted earnings per share as the effect would be anti-dilutive.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is involved in litigation in the normal course of business and does not anticipate that such matters will ultimately have a material effect on its condensed consolidated financial position or the results of its operations.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is required to pay an monthly management fee of $18,773 in connection with equipment, subject to annual adjustments of 2% from January 2026 through June 2028.</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entered into one operating lease agreement with a 15 year term which has not yet commenced. Total commitments under the new agreement through 2041 is approximately $16,910,000. Refer to Note 16 - Related Party Transactions for additional details about this lease.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engaged in transactions with Envision Homes ("Envision"), which is a related party due to common control under a Company equity holder. The Company recognized $6,546 and $9,535 of sublease income for the three months ended March 31, 2026, and 2025, respectively. There were no outstanding balances due from Envision as of March 31, 2026 and March 31, 2025, respectively. All transactions with Envision were conducted in the normal course of business and on terms equivalent to those that prevail in arm's length transactions.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engaged in transactions with Wellfield Development ("Wellfield"), which is a related party due to common control under a Company equity holder. The Company recognized no revenue for the three months ended March 31, 2026 and 2025. The outstanding balances due from Wellfield as of March 31, 2026 and March 31, 2025 are $- and $14,422, respectively, which are included on the accompanying condensed consolidated balance sheets as accounts receivable, net. All transactions with Wellfield were conducted in the normal course of business and on terms equivalent to those that prevail in arm's length transactions.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engaged in transactions with Park Towns ("Park"), which is a related party due to common control under a Company equity holder. The Company recognized revenue of $14,471 and $38,857 for the work performed for Park for the three months ended March 31, 2026 and 2025, respectively. The outstanding balances due from Park as of March 31, 2026 and 2025 are $- and $215,738, respectively, which are included on the accompanying condensed consolidated balance sheet as accounts receivable, net. All transactions with Park were conducted in the normal course of business and on terms equivalent to those that prevail in arm's length transactions.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2026 the Company engaged in transactions with the previously consolidated VIE, CCCRE Holdings ("CCCRE"), which is a related party due to common control under a Company equity holder. The Company recognized $33,804 of lease expense for the three months ended March 31, 2026 related to a leased office warehouse and equipment yard which began in November 2025. We expect to pay CCCRE $144,000 per year under the lease through November 2030. Management believes the terms of the lease are consistent with market rates and comparable to those that could have been obtained from an unrelated third party. In addition, the Company entered into a separate lease agreement with CCCRE with an initial term beginning January 1, 2026 and extending through January 31, 2041 with annual base rent of approximately $1,140,000. The commencement of this lease is contingent upon the issuance of a certificate of occupancy, which had not been received as of March 31, 2026. Accordingly, the lease had not commenced as of March 31, 2026.</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September 2025, the Company entered into a new lease with King Road, LLC ("King Road"), which is a related party due to common control under a Company equity holder. The Company recognized lease expense of $60,000 for the three months ended March 31, 2026 related to leased land for purposes of operating an equipment yard. We expect to pay King Road $120,000 per year through December 2030. Management believes the terms of the lease are consistent with market rates and comparable to those that could have been obtained from an unrelated third party.</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February 2026, as part of the ALGC transaction, the Company entered into two separate 15-year lease agreements with an entity under common control with the seller to lease the existing operating and office facilities of ALGC. The Company recognized lease expense of $75,560 for the three months ended March 31, 2026. We expect to pay $600,000 per year through February 2041 with 3% annual increases.</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IPO, Cardinal Infrastructure Group Inc. utilized some of the net proceeds from the IPO to redeem 7,500,000 OpCo units for $157,500,000 from the group of Continuing Equity Holders, which includes Erik West, the Chief Operating Officer of Cardinal NC, Mike Rowe, our Chief Financial Officer, and Jeremy Spivey, our Chief Executive Officer. Additionally we entered into a Tax Receivable Agreement (“TRA”) with the Continuing Equity Holders. The TRA provides for payments by the Company to the Continuing Equity Holders equal to 85% of certain tax benefits that the Company realizes, or is deemed to realize, as a result of increases in tax basis arising from exchanges of LLC units for Class A Common Stock (or cash) and from certain other tax benefits related to payments made under the TRA. The Company retains the benefit of the remaining 15% of such tax benefits. The TRA liability is recognized when the related tax benefits are realized upon exchanges of LLC units. As of March 31, 2026, the tax receivable agreement liability on the condensed consolidated balance sheet totaled $39,423,529 . Refer to Note 13. Income Taxes and Tax Receivable Agreement for further details.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on which this Form 10-Q was filed, the date on which these financial statements were issued. There have been no subsequent events that occurred during such period that would require disclosure in the Form 10-Q or would be required to be recognized in the condensed consolidated financial statements as of and for the three months ended March 31, 2026.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should be read in conjunction with the Unaudited Condensed Consolidated Financial Statements and accompanying notes included elsewhere in this Quarterly Report on Form 10-Q for the three months ended March 31, 2026. In addition, this Report on Form 10-Q should be read in conjunction with our Annual Report on Form 10-K for the year ended December 31, 2025, as filed with the U.S. Securities and Exchange Commission (“SEC”) on March 23, 2025.</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to “Cardinal Group,” the “Company,” “we,” “us” and “our” in this Quarterly Report on Form 10-Q (this “Report”) refer to Cardinal Infrastructure Group Inc., and unless otherwise stated, its consolidated subsidiaries. All references to “PubCo” in this Report refer to Cardinal Infrastructure Group Inc. and all references in this Report to “Cardinal” and “OpCo” refer to Cardinal Civil Contracting Holdings LLC.</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Forward-Looking Statements</w:t>
      </w:r>
    </w:p>
    <w:p>
      <w:pPr>
        <w:spacing w:after="0" w:line="11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contains forward-looking statements that reflect our future plans, estimates, beliefs and expected performance. The forward-looking statements are dependent upon events, risks and uncertainties that may be outside our control. Our actual results could differ materially from those discussed in these forward-looking statements. Factors that could cause or contribute to such differences are discussed elsewhere in this Report, including in “Part II. Item 1A. Risk Factors” all of which are difficult to predict. In light of these risks, uncertainties and assumptions, the forward-looking statements discussed may not occur. We do not undertake any obligation to publicly update any forward-looking statements except as otherwise required by applicable law.</w:t>
      </w:r>
    </w:p>
    <w:p>
      <w:pPr>
        <w:spacing w:after="0" w:line="115" w:lineRule="exact"/>
        <w:rPr>
          <w:sz w:val="20"/>
          <w:szCs w:val="20"/>
          <w:color w:val="auto"/>
        </w:rPr>
      </w:pPr>
    </w:p>
    <w:p>
      <w:pPr>
        <w:jc w:val="both"/>
        <w:ind w:firstLine="499"/>
        <w:spacing w:after="0" w:line="257"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Statements that are predictive in nature, that depend upon or refer to future events or conditions or that include the words “may,” “could,” “plan,” “project,” “budget,” “predict,” “pursue,” “target,” “seek,” “objective,” “believe,” “expect,” “anticipate,” “intend,” “estimate,” and other expressions that are predictions of or indicate future events and trends and that do not relate to historical matters identify forward-looking statements. Our forward-looking statements include statements about our business strategy, our industry, our future profitability, our expected capital expenditures and the impact of such expenditures on our performance, the costs of being a publicly traded corporation and our capital programs.</w:t>
      </w:r>
    </w:p>
    <w:p>
      <w:pPr>
        <w:spacing w:after="0" w:line="10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i w:val="1"/>
          <w:iCs w:val="1"/>
          <w:color w:val="auto"/>
        </w:rPr>
        <w:t>A forward-looking statement may include a statement of the assumptions or bases underlying the forward-looking statement. We believe that we have chosen these assumptions or bases in good faith and that they are reasonable. You are cautioned not to place undue reliance on any forward-looking statements. You should also understand that it is not possible to predict or identify all such factors and should not consider the following list to be a complete statement of all potential risks and uncertainties. Factors that could cause our actual results to differ materially from the results contemplated by such forward-looking statements include:</w:t>
      </w:r>
    </w:p>
    <w:p>
      <w:pPr>
        <w:spacing w:after="0" w:line="75" w:lineRule="exact"/>
        <w:rPr>
          <w:sz w:val="20"/>
          <w:szCs w:val="20"/>
          <w:color w:val="auto"/>
        </w:rPr>
      </w:pPr>
    </w:p>
    <w:p>
      <w:pPr>
        <w:ind w:left="1000" w:hanging="504"/>
        <w:spacing w:after="0" w:line="284" w:lineRule="auto"/>
        <w:tabs>
          <w:tab w:leader="none" w:pos="107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predict demand for our services may decrease during economic recessions or volatile economic cycles, and a reduction in demand in end markets may adversely affect our business;</w:t>
      </w:r>
    </w:p>
    <w:p>
      <w:pPr>
        <w:spacing w:after="0" w:line="50" w:lineRule="exact"/>
        <w:rPr>
          <w:rFonts w:ascii="Times New Roman" w:cs="Times New Roman" w:eastAsia="Times New Roman" w:hAnsi="Times New Roman"/>
          <w:sz w:val="18"/>
          <w:szCs w:val="18"/>
          <w:i w:val="1"/>
          <w:iCs w:val="1"/>
          <w:color w:val="auto"/>
        </w:rPr>
      </w:pPr>
    </w:p>
    <w:p>
      <w:pPr>
        <w:ind w:left="920" w:hanging="424"/>
        <w:spacing w:after="0"/>
        <w:tabs>
          <w:tab w:leader="none" w:pos="9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market opportunity and the potential growth of that market;</w:t>
      </w:r>
    </w:p>
    <w:p>
      <w:pPr>
        <w:spacing w:after="0" w:line="117" w:lineRule="exact"/>
        <w:rPr>
          <w:rFonts w:ascii="Times New Roman" w:cs="Times New Roman" w:eastAsia="Times New Roman" w:hAnsi="Times New Roman"/>
          <w:sz w:val="18"/>
          <w:szCs w:val="18"/>
          <w:i w:val="1"/>
          <w:iCs w:val="1"/>
          <w:color w:val="auto"/>
        </w:rPr>
      </w:pPr>
    </w:p>
    <w:p>
      <w:pPr>
        <w:ind w:left="920" w:hanging="424"/>
        <w:spacing w:after="0"/>
        <w:tabs>
          <w:tab w:leader="none" w:pos="9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competition for projects in our local markets;</w:t>
      </w:r>
    </w:p>
    <w:p>
      <w:pPr>
        <w:spacing w:after="0" w:line="117" w:lineRule="exact"/>
        <w:rPr>
          <w:rFonts w:ascii="Times New Roman" w:cs="Times New Roman" w:eastAsia="Times New Roman" w:hAnsi="Times New Roman"/>
          <w:sz w:val="18"/>
          <w:szCs w:val="18"/>
          <w:i w:val="1"/>
          <w:iCs w:val="1"/>
          <w:color w:val="auto"/>
        </w:rPr>
      </w:pPr>
    </w:p>
    <w:p>
      <w:pPr>
        <w:ind w:left="920" w:hanging="424"/>
        <w:spacing w:after="0"/>
        <w:tabs>
          <w:tab w:leader="none" w:pos="9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expand into new regions;</w:t>
      </w:r>
    </w:p>
    <w:p>
      <w:pPr>
        <w:spacing w:after="0" w:line="117" w:lineRule="exact"/>
        <w:rPr>
          <w:rFonts w:ascii="Times New Roman" w:cs="Times New Roman" w:eastAsia="Times New Roman" w:hAnsi="Times New Roman"/>
          <w:sz w:val="18"/>
          <w:szCs w:val="18"/>
          <w:i w:val="1"/>
          <w:iCs w:val="1"/>
          <w:color w:val="auto"/>
        </w:rPr>
      </w:pPr>
    </w:p>
    <w:p>
      <w:pPr>
        <w:ind w:left="920" w:hanging="424"/>
        <w:spacing w:after="0"/>
        <w:tabs>
          <w:tab w:leader="none" w:pos="9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identify, manage and integrate acquisitions;</w:t>
      </w:r>
    </w:p>
    <w:p>
      <w:pPr>
        <w:spacing w:after="0" w:line="117" w:lineRule="exact"/>
        <w:rPr>
          <w:rFonts w:ascii="Times New Roman" w:cs="Times New Roman" w:eastAsia="Times New Roman" w:hAnsi="Times New Roman"/>
          <w:sz w:val="18"/>
          <w:szCs w:val="18"/>
          <w:i w:val="1"/>
          <w:iCs w:val="1"/>
          <w:color w:val="auto"/>
        </w:rPr>
      </w:pPr>
    </w:p>
    <w:p>
      <w:pPr>
        <w:ind w:left="920" w:hanging="424"/>
        <w:spacing w:after="0"/>
        <w:tabs>
          <w:tab w:leader="none" w:pos="9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strategy, expected outcomes, and growth prospects;</w:t>
      </w:r>
    </w:p>
    <w:p>
      <w:pPr>
        <w:spacing w:after="0" w:line="117" w:lineRule="exact"/>
        <w:rPr>
          <w:rFonts w:ascii="Times New Roman" w:cs="Times New Roman" w:eastAsia="Times New Roman" w:hAnsi="Times New Roman"/>
          <w:sz w:val="18"/>
          <w:szCs w:val="18"/>
          <w:i w:val="1"/>
          <w:iCs w:val="1"/>
          <w:color w:val="auto"/>
        </w:rPr>
      </w:pPr>
    </w:p>
    <w:p>
      <w:pPr>
        <w:ind w:left="920" w:hanging="424"/>
        <w:spacing w:after="0"/>
        <w:tabs>
          <w:tab w:leader="none" w:pos="9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trends in our operations, industry, and markets;</w:t>
      </w:r>
    </w:p>
    <w:p>
      <w:pPr>
        <w:spacing w:after="0" w:line="117" w:lineRule="exact"/>
        <w:rPr>
          <w:rFonts w:ascii="Times New Roman" w:cs="Times New Roman" w:eastAsia="Times New Roman" w:hAnsi="Times New Roman"/>
          <w:sz w:val="18"/>
          <w:szCs w:val="18"/>
          <w:i w:val="1"/>
          <w:iCs w:val="1"/>
          <w:color w:val="auto"/>
        </w:rPr>
      </w:pPr>
    </w:p>
    <w:p>
      <w:pPr>
        <w:ind w:left="920" w:hanging="424"/>
        <w:spacing w:after="0"/>
        <w:tabs>
          <w:tab w:leader="none" w:pos="9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future profitability, indebtedness, liquidity, access to capital, and financial condition;</w:t>
      </w:r>
    </w:p>
    <w:p>
      <w:pPr>
        <w:spacing w:after="0" w:line="117" w:lineRule="exact"/>
        <w:rPr>
          <w:rFonts w:ascii="Times New Roman" w:cs="Times New Roman" w:eastAsia="Times New Roman" w:hAnsi="Times New Roman"/>
          <w:sz w:val="18"/>
          <w:szCs w:val="18"/>
          <w:i w:val="1"/>
          <w:iCs w:val="1"/>
          <w:color w:val="auto"/>
        </w:rPr>
      </w:pPr>
    </w:p>
    <w:p>
      <w:pPr>
        <w:ind w:left="920" w:hanging="424"/>
        <w:spacing w:after="0"/>
        <w:tabs>
          <w:tab w:leader="none" w:pos="9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effects of seasonal trends or weather conditions on our results of operations;</w:t>
      </w:r>
    </w:p>
    <w:p>
      <w:pPr>
        <w:spacing w:after="0" w:line="117" w:lineRule="exact"/>
        <w:rPr>
          <w:rFonts w:ascii="Times New Roman" w:cs="Times New Roman" w:eastAsia="Times New Roman" w:hAnsi="Times New Roman"/>
          <w:sz w:val="18"/>
          <w:szCs w:val="18"/>
          <w:i w:val="1"/>
          <w:iCs w:val="1"/>
          <w:color w:val="auto"/>
        </w:rPr>
      </w:pPr>
    </w:p>
    <w:p>
      <w:pPr>
        <w:ind w:left="920" w:hanging="424"/>
        <w:spacing w:after="0"/>
        <w:tabs>
          <w:tab w:leader="none" w:pos="9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inflation on costs of labor, materials and other items that are critical to our business;</w:t>
      </w:r>
    </w:p>
    <w:p>
      <w:pPr>
        <w:spacing w:after="0" w:line="117" w:lineRule="exact"/>
        <w:rPr>
          <w:rFonts w:ascii="Times New Roman" w:cs="Times New Roman" w:eastAsia="Times New Roman" w:hAnsi="Times New Roman"/>
          <w:sz w:val="18"/>
          <w:szCs w:val="18"/>
          <w:i w:val="1"/>
          <w:iCs w:val="1"/>
          <w:color w:val="auto"/>
        </w:rPr>
      </w:pPr>
    </w:p>
    <w:p>
      <w:pPr>
        <w:ind w:left="920" w:hanging="424"/>
        <w:spacing w:after="0"/>
        <w:tabs>
          <w:tab w:leader="none" w:pos="9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cancellation of a significant number of contracts or our disqualification from bidding for new contracts;</w:t>
      </w:r>
    </w:p>
    <w:p>
      <w:pPr>
        <w:spacing w:after="0" w:line="117" w:lineRule="exact"/>
        <w:rPr>
          <w:rFonts w:ascii="Times New Roman" w:cs="Times New Roman" w:eastAsia="Times New Roman" w:hAnsi="Times New Roman"/>
          <w:sz w:val="18"/>
          <w:szCs w:val="18"/>
          <w:i w:val="1"/>
          <w:iCs w:val="1"/>
          <w:color w:val="auto"/>
        </w:rPr>
      </w:pPr>
    </w:p>
    <w:p>
      <w:pPr>
        <w:ind w:left="920" w:hanging="424"/>
        <w:spacing w:after="0"/>
        <w:tabs>
          <w:tab w:leader="none" w:pos="9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increased expenses associated with being a public company;</w:t>
      </w:r>
    </w:p>
    <w:p>
      <w:pPr>
        <w:spacing w:after="0" w:line="117" w:lineRule="exact"/>
        <w:rPr>
          <w:rFonts w:ascii="Times New Roman" w:cs="Times New Roman" w:eastAsia="Times New Roman" w:hAnsi="Times New Roman"/>
          <w:sz w:val="18"/>
          <w:szCs w:val="18"/>
          <w:i w:val="1"/>
          <w:iCs w:val="1"/>
          <w:color w:val="auto"/>
        </w:rPr>
      </w:pPr>
    </w:p>
    <w:p>
      <w:pPr>
        <w:ind w:left="920" w:hanging="424"/>
        <w:spacing w:after="0"/>
        <w:tabs>
          <w:tab w:leader="none" w:pos="9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remain in compliance with extensive laws and regulations that apply to our business and operations; and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ind w:left="920" w:hanging="424"/>
        <w:spacing w:after="0"/>
        <w:tabs>
          <w:tab w:leader="none" w:pos="9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future trading prices of our Class A Common Stock.</w:t>
      </w:r>
    </w:p>
    <w:p>
      <w:pPr>
        <w:spacing w:after="0" w:line="158" w:lineRule="exact"/>
        <w:rPr>
          <w:sz w:val="20"/>
          <w:szCs w:val="20"/>
          <w:color w:val="auto"/>
        </w:rPr>
      </w:pPr>
    </w:p>
    <w:p>
      <w:pPr>
        <w:jc w:val="both"/>
        <w:ind w:firstLine="499"/>
        <w:spacing w:after="0" w:line="257" w:lineRule="auto"/>
        <w:rPr>
          <w:sz w:val="20"/>
          <w:szCs w:val="20"/>
          <w:color w:val="auto"/>
        </w:rPr>
      </w:pPr>
      <w:r>
        <w:rPr>
          <w:rFonts w:ascii="Times New Roman" w:cs="Times New Roman" w:eastAsia="Times New Roman" w:hAnsi="Times New Roman"/>
          <w:sz w:val="18"/>
          <w:szCs w:val="18"/>
          <w:i w:val="1"/>
          <w:iCs w:val="1"/>
          <w:color w:val="auto"/>
        </w:rPr>
        <w:t>Although forward-looking statements reflect our good faith beliefs at the time they are made, forward-looking statements involve known and unknown risks, uncertainties and other factors, including the factors described under “Risk Factors,” which may cause our actual results, performance or achievements to differ materially from anticipated future results, performance or achievements expressed or implied by such forward-looking statements. We undertake no obligation to publicly update or revise any forward-looking statement, whether as a result of new information, future events, changed circumstances or otherwise, unless required by law. These cautionary statements qualify all forward-looking statements attributable to us or persons acting on our behalf.</w:t>
      </w:r>
    </w:p>
    <w:p>
      <w:pPr>
        <w:spacing w:after="0" w:line="7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As described in “Part I. Item 2. Busines</w:t>
      </w: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 xml:space="preserve"> — Initial Public Offering and Reorganization,” Cardinal Group is a holding company that conducts no operations and our principal asset is the LLC units of Cardinal acquired in connection with the completion of our IPO on December 11, 2025 and the Reorganization made prior to the IPO, including with respect to our operating entities Cardinal and Cardinal NC. Prior to the IPO, all of our business was conducted through Cardinal NC.</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Cardinal Group is the sole managing member of Cardinal. Although Cardinal Group has a minority economic interest in Cardinal, we have the sole voting interest in, and operate and control all of the business and affairs of, Cardinal and its subsidiaries, and through Cardinal conduct our business. As a result, Cardinal Group consolidates Cardinal and has recorded a significant noncontrolling interest in a consolidated entity in our condensed consolidated financial statements for the economic interest in Cardinal held by the Continuing Equity Holders.</w:t>
      </w:r>
    </w:p>
    <w:p>
      <w:pPr>
        <w:spacing w:after="0" w:line="72"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Because the IPO and the Reorganization resulted in a change to our organizational structure, the historical financial statements, which do not reflect certain items that affect our results of operations and financial position since the IPO and the Reorganization, may not give you an accurate indication of what our actual results would have been if the transactions had been completed at the beginning of the periods presented or of what our future results of operations are likely to be. This section of this Report on Form 10-Q generally discusses fiscal quarters ended March 31, 2026 and 2025 items and year-to-year comparisons between fiscal quarters ended March 31, 2026 and 2025. </w:t>
      </w:r>
      <w:r>
        <w:rPr>
          <w:rFonts w:ascii="Times New Roman" w:cs="Times New Roman" w:eastAsia="Times New Roman" w:hAnsi="Times New Roman"/>
          <w:sz w:val="18"/>
          <w:szCs w:val="18"/>
          <w:i w:val="1"/>
          <w:iCs w:val="1"/>
          <w:color w:val="131E29"/>
        </w:rPr>
        <w:t>The comparison of the consolidated financial results for the</w:t>
      </w:r>
      <w:r>
        <w:rPr>
          <w:rFonts w:ascii="Times New Roman" w:cs="Times New Roman" w:eastAsia="Times New Roman" w:hAnsi="Times New Roman"/>
          <w:sz w:val="18"/>
          <w:szCs w:val="18"/>
          <w:i w:val="1"/>
          <w:iCs w:val="1"/>
          <w:color w:val="auto"/>
        </w:rPr>
        <w:t xml:space="preserve"> fiscal quarter ended March 31, 2025 </w:t>
      </w:r>
      <w:r>
        <w:rPr>
          <w:rFonts w:ascii="Times New Roman" w:cs="Times New Roman" w:eastAsia="Times New Roman" w:hAnsi="Times New Roman"/>
          <w:sz w:val="18"/>
          <w:szCs w:val="18"/>
          <w:i w:val="1"/>
          <w:iCs w:val="1"/>
          <w:color w:val="131E29"/>
        </w:rPr>
        <w:t>refers only to Cardinal and its subsidiaries.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Cardinal Infrastructure Group, Inc. ("Cardinal," the "Company," "we," "us," or "our") is a full-service, turnkey infrastructure services company operating in the Southeastern United States, specifically North Carolina, South Carolina and Georgia. We provide a comprehensive suite of infrastructure services to the residential, commercial, industrial, municipal, and state infrastructure markets, including wet utility installations, grading, site clearing, erosion control, drilling and blasting, paving, and related site services. We deliver these services primarily through in-house crews and a fleet of specialized equipment, which enables us to maintain quality control, schedule certainty, and cost efficiency across our project portfolio.</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recent growth has been driven by a three-part strategy: (i) vertical integration within our core markets, which allows us to self-perform a broader scope of work, compress project schedules and retain margin; (ii) expansion and diversification across the end markets we serve, including residential, commercial, industrial, municipal and state infrastructure; and (iii) selective acquisitions that broaden our geographic footprint, expand our employee base and add complementary service capabilities.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strategy is grounded in operational discipline, market expansion and a commitment to Integrity from the Ground Up. Our workforce is the foundation of the Company, and we invest in our crews through structured training, field-based development and disciplined jobsite safety practices. Our strong culture of safety is also core to the schedule certainty and quality that differentiate us in the market.</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customers include national homebuilders, residential developers, commercial and industrial property owners, general contractors, municipalities, and state agencies. The following discussion and analysis should be read in conjunction with the unaudited condensed consolidated financial statements and notes included in Part I, Item 1 of this Quarterly Report, and with our Annual Report on Form 10-K for the year ended December 31,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Transactions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February 18, 2026, we acquired Sugar Hill, Georgia-based A.L. Grading Contractors (“ALGC”). A fourth-generation, high-growth market leader, ALGC provides comprehensive site development solutions, including grading, underground utilities, erosion control, and clearing, supporting large-scale commercial, industrial, and residential construction in Georgia and South Carolina. See Note 3 – Business Combinations to our Unaudited Condensed Consolidated Financial Statements for further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4" w:name="page35"/>
    <w:bookmarkEnd w:id="34"/>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This acquisition is consistent with our strategy of acquiring either a tuck-in acquisition in core markets, or a platform acquisition in a new geography and represents a further step in Cardinal's expansion into the Southeast.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 and Reorganization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discussed above under Note 1 – Organization and Description of Business to our Unaudited Condensed Consolidated Financial Statements, we completed our IPO of 11,500,000 shares of our Class A Common Stock at a price to the public of $21.00 per share on December 11, 2025, and on December 12, 2025, pursuant to the exercise in full of the underwriters’ option, Cardinal Infrastructure Group Inc. completed the sale of an additional 1,725,000 shares of its Class A Common Stock at a price to the public of $21.00 per share. The gross proceeds from the IPO, including the exercise in full of the sale of the additional shares, were approximately $277.7 million, before deducting underwriting discounts and commissions. We used the net proceeds from the IPO to purchase 14,943,750 newly issued LLC Unit from Cardinal for approximately $258.3 million in aggregate and became the sole managing member of Cardinal. In connection with the IPO, we also issued 23,387,813 shares of our Class B Common Stock to the Continuing Equity Holders, which is equal to the number of LLC units held by such Continuing Equity Holders, at the time of such issuance of Class B Common Stock, for nominal consideration. As a result of the above, Cardinal Group is a holding company with no direct operations and our principal asset is our equity interest in Cardinal. Prior to the IPO, all of our business was conducted through Cardinal NC. See Note 1 – Organization and Description of Business to our Unaudited Condensed Consolidated Financial Statements included under “Item 1. Financial Statements” of this Report for further discussion of the Reorganization made prior to and in connection with the IPO.</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Key Factors Affecting Our Performance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We believe our future performance will depend on many factors, including those described in Part II, Item 7. Management’s Discussion and Analysis of Financial Condition and Results of Operations of our 2025 10-K, to which there have been no material changes.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Consolidated </w:t>
      </w:r>
      <w:r>
        <w:rPr>
          <w:rFonts w:ascii="Times New Roman" w:cs="Times New Roman" w:eastAsia="Times New Roman" w:hAnsi="Times New Roman"/>
          <w:sz w:val="18"/>
          <w:szCs w:val="18"/>
          <w:b w:val="1"/>
          <w:bCs w:val="1"/>
          <w:i w:val="1"/>
          <w:iCs w:val="1"/>
          <w:color w:val="231F20"/>
        </w:rPr>
        <w:t>Results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statements of income for the quarters ended March 31, 2026, and 2025, along with certain data in percentages: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Quarter ended March 31,</w:t>
            </w:r>
          </w:p>
        </w:tc>
        <w:tc>
          <w:tcPr>
            <w:tcW w:w="1460" w:type="dxa"/>
            <w:vAlign w:val="bottom"/>
            <w:vMerge w:val="restart"/>
          </w:tcPr>
          <w:p>
            <w:pPr>
              <w:jc w:val="right"/>
              <w:ind w:right="8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060" w:type="dxa"/>
            <w:vAlign w:val="bottom"/>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0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340" w:type="dxa"/>
            <w:vAlign w:val="bottom"/>
            <w:shd w:val="clear" w:color="auto" w:fill="CFF0FC"/>
          </w:tcPr>
          <w:p>
            <w:pPr>
              <w:jc w:val="right"/>
              <w:ind w:right="11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167,508,716</w:t>
            </w:r>
          </w:p>
        </w:tc>
        <w:tc>
          <w:tcPr>
            <w:tcW w:w="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81,801,265</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excluding depreciation and amortization shown separately below</w:t>
            </w:r>
          </w:p>
        </w:tc>
        <w:tc>
          <w:tcPr>
            <w:tcW w:w="1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133,319,083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65,277,978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10,142,131</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2,125,970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9,269,758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6,598,841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13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(2,397)</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(110,945)</w:t>
            </w:r>
          </w:p>
        </w:tc>
        <w:tc>
          <w:tcPr>
            <w:tcW w:w="0" w:type="dxa"/>
            <w:vAlign w:val="bottom"/>
          </w:tcPr>
          <w:p>
            <w:pPr>
              <w:spacing w:after="0"/>
              <w:rPr>
                <w:sz w:val="1"/>
                <w:szCs w:val="1"/>
                <w:color w:val="auto"/>
              </w:rPr>
            </w:pPr>
          </w:p>
        </w:tc>
      </w:tr>
      <w:tr>
        <w:trPr>
          <w:trHeight w:val="209"/>
        </w:trPr>
        <w:tc>
          <w:tcPr>
            <w:tcW w:w="60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Income from operations</w:t>
            </w:r>
          </w:p>
        </w:tc>
        <w:tc>
          <w:tcPr>
            <w:tcW w:w="13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14,780,141</w:t>
            </w:r>
          </w:p>
        </w:tc>
        <w:tc>
          <w:tcPr>
            <w:tcW w:w="3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7,909,421</w:t>
            </w: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Margin %</w:t>
            </w:r>
          </w:p>
        </w:tc>
        <w:tc>
          <w:tcPr>
            <w:tcW w:w="13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 net</w:t>
            </w:r>
          </w:p>
        </w:tc>
        <w:tc>
          <w:tcPr>
            <w:tcW w:w="1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2,245,876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1,026,276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Borders>
              <w:bottom w:val="single" w:sz="8" w:color="CFF0FC"/>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expense, net</w:t>
            </w:r>
          </w:p>
        </w:tc>
        <w:tc>
          <w:tcPr>
            <w:tcW w:w="13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241,400</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 before taxes</w:t>
            </w:r>
          </w:p>
        </w:tc>
        <w:tc>
          <w:tcPr>
            <w:tcW w:w="1340" w:type="dxa"/>
            <w:vAlign w:val="bottom"/>
          </w:tcPr>
          <w:p>
            <w:pPr>
              <w:jc w:val="right"/>
              <w:ind w:right="11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12,534,265</w:t>
            </w:r>
          </w:p>
        </w:tc>
        <w:tc>
          <w:tcPr>
            <w:tcW w:w="300" w:type="dxa"/>
            <w:vAlign w:val="bottom"/>
          </w:tcPr>
          <w:p>
            <w:pPr>
              <w:spacing w:after="0"/>
              <w:rPr>
                <w:sz w:val="18"/>
                <w:szCs w:val="18"/>
                <w:color w:val="auto"/>
              </w:rPr>
            </w:pPr>
          </w:p>
        </w:tc>
        <w:tc>
          <w:tcPr>
            <w:tcW w:w="9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6,641,745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3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1,053,229</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tcPr>
          <w:p>
            <w:pPr>
              <w:jc w:val="right"/>
              <w:ind w:right="11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11,481,036</w:t>
            </w:r>
          </w:p>
        </w:tc>
        <w:tc>
          <w:tcPr>
            <w:tcW w:w="300" w:type="dxa"/>
            <w:vAlign w:val="bottom"/>
          </w:tcPr>
          <w:p>
            <w:pPr>
              <w:spacing w:after="0"/>
              <w:rPr>
                <w:sz w:val="18"/>
                <w:szCs w:val="18"/>
                <w:color w:val="auto"/>
              </w:rPr>
            </w:pPr>
          </w:p>
        </w:tc>
        <w:tc>
          <w:tcPr>
            <w:tcW w:w="9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6,641,745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income margin</w:t>
            </w:r>
          </w:p>
        </w:tc>
        <w:tc>
          <w:tcPr>
            <w:tcW w:w="13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6060" w:type="dxa"/>
            <w:vAlign w:val="bottom"/>
            <w:tcBorders>
              <w:right w:val="single" w:sz="8" w:color="CFF0FC"/>
            </w:tcBorders>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340" w:type="dxa"/>
            <w:vAlign w:val="bottom"/>
          </w:tcPr>
          <w:p>
            <w:pPr>
              <w:jc w:val="right"/>
              <w:ind w:right="11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8,062,598</w:t>
            </w:r>
          </w:p>
        </w:tc>
        <w:tc>
          <w:tcPr>
            <w:tcW w:w="300" w:type="dxa"/>
            <w:vAlign w:val="bottom"/>
          </w:tcPr>
          <w:p>
            <w:pPr>
              <w:spacing w:after="0"/>
              <w:rPr>
                <w:sz w:val="18"/>
                <w:szCs w:val="18"/>
                <w:color w:val="auto"/>
              </w:rPr>
            </w:pPr>
          </w:p>
        </w:tc>
        <w:tc>
          <w:tcPr>
            <w:tcW w:w="9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1,164,764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income attributable to Cardinal Infrastructure Group Inc.</w:t>
            </w:r>
          </w:p>
        </w:tc>
        <w:tc>
          <w:tcPr>
            <w:tcW w:w="1340" w:type="dxa"/>
            <w:vAlign w:val="bottom"/>
            <w:shd w:val="clear" w:color="auto" w:fill="CFF0FC"/>
          </w:tcPr>
          <w:p>
            <w:pPr>
              <w:jc w:val="right"/>
              <w:ind w:right="11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3,418,438</w:t>
            </w:r>
          </w:p>
        </w:tc>
        <w:tc>
          <w:tcPr>
            <w:tcW w:w="3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5,476,981</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6060" w:type="dxa"/>
            <w:vAlign w:val="bottom"/>
            <w:tcBorders>
              <w:top w:val="single" w:sz="8" w:color="CFF0FC"/>
            </w:tcBorders>
          </w:tcPr>
          <w:p>
            <w:pPr>
              <w:ind w:left="5540"/>
              <w:spacing w:after="0"/>
              <w:rPr>
                <w:sz w:val="20"/>
                <w:szCs w:val="20"/>
                <w:color w:val="auto"/>
              </w:rPr>
            </w:pPr>
            <w:r>
              <w:rPr>
                <w:rFonts w:ascii="Times New Roman" w:cs="Times New Roman" w:eastAsia="Times New Roman" w:hAnsi="Times New Roman"/>
                <w:sz w:val="18"/>
                <w:szCs w:val="18"/>
                <w:color w:val="auto"/>
              </w:rPr>
              <w:t>33</w:t>
            </w:r>
          </w:p>
        </w:tc>
        <w:tc>
          <w:tcPr>
            <w:tcW w:w="13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0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-2365375</wp:posOffset>
            </wp:positionV>
            <wp:extent cx="1117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-2365375</wp:posOffset>
            </wp:positionV>
            <wp:extent cx="1117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-1799590</wp:posOffset>
            </wp:positionV>
            <wp:extent cx="1117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-1799590</wp:posOffset>
            </wp:positionV>
            <wp:extent cx="1117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-1516380</wp:posOffset>
            </wp:positionV>
            <wp:extent cx="1117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-1516380</wp:posOffset>
            </wp:positionV>
            <wp:extent cx="1117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-1224915</wp:posOffset>
            </wp:positionV>
            <wp:extent cx="1117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-1224915</wp:posOffset>
            </wp:positionV>
            <wp:extent cx="1117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-933450</wp:posOffset>
            </wp:positionV>
            <wp:extent cx="1117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-916305</wp:posOffset>
            </wp:positionV>
            <wp:extent cx="1117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-933450</wp:posOffset>
            </wp:positionV>
            <wp:extent cx="11176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-916305</wp:posOffset>
            </wp:positionV>
            <wp:extent cx="1117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5" w:name="page36"/>
    <w:bookmarkEnd w:id="35"/>
    <w:p>
      <w:pPr>
        <w:ind w:right="5480"/>
        <w:spacing w:after="0" w:line="341" w:lineRule="auto"/>
        <w:rPr>
          <w:sz w:val="20"/>
          <w:szCs w:val="20"/>
          <w:color w:val="auto"/>
        </w:rPr>
      </w:pPr>
      <w:r>
        <w:rPr>
          <w:rFonts w:ascii="Times New Roman" w:cs="Times New Roman" w:eastAsia="Times New Roman" w:hAnsi="Times New Roman"/>
          <w:sz w:val="18"/>
          <w:szCs w:val="18"/>
          <w:b w:val="1"/>
          <w:bCs w:val="1"/>
          <w:i w:val="1"/>
          <w:iCs w:val="1"/>
          <w:color w:val="auto"/>
        </w:rPr>
        <w:t>Quarter Ended March 31, 2026, Compared to Quarter Ended March 31, 2025 Revenues</w:t>
      </w:r>
    </w:p>
    <w:p>
      <w:pPr>
        <w:spacing w:after="0" w:line="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Revenues were $167.5 million for the three months ended March 31, 2026, an increase of $85.7 million or 104.8%, compared to $81.8 million for the three months ended March 31, 2025. The increase in Revenues was driven by approximately $52.1 million of organic growth and $33.6 million of acquisition-related revenue growth. Organic growth reflects higher volume from increased residential demand across North Carolina and contributions from ongoing end use market/customer diversification initiatives.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Cost of revenues were $133.3 million for the quarter ended March 31, 2026, an increase of $68.0 million or 104.2% compared to $65.3 million for the quarter ended March 31, 2025. The increase was primarily associated with organic and acquisition-related growth, partially offset by efficiency gains.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Profit Margin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Gross Profit was $24.9 million for the three months ended </w:t>
      </w:r>
      <w:r>
        <w:rPr>
          <w:rFonts w:ascii="Times New Roman" w:cs="Times New Roman" w:eastAsia="Times New Roman" w:hAnsi="Times New Roman"/>
          <w:sz w:val="18"/>
          <w:szCs w:val="18"/>
          <w:color w:val="231F20"/>
        </w:rPr>
        <w:t>March 31, 2026, an increase of $15.0 million or 151.1%, compared to $9.9 million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three months ended March 31, 2025. </w:t>
      </w:r>
      <w:r>
        <w:rPr>
          <w:rFonts w:ascii="Times New Roman" w:cs="Times New Roman" w:eastAsia="Times New Roman" w:hAnsi="Times New Roman"/>
          <w:sz w:val="18"/>
          <w:szCs w:val="18"/>
          <w:color w:val="000000"/>
        </w:rPr>
        <w:t>The increase in Gross Profit was primarily driven by both strong organic and acquisition-related revenue growth,</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partially offset by an increase in cost of revenues associated with overall business growth.</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Gross Profit Margin increased to 14.9% for the three months ended </w:t>
      </w:r>
      <w:r>
        <w:rPr>
          <w:rFonts w:ascii="Times New Roman" w:cs="Times New Roman" w:eastAsia="Times New Roman" w:hAnsi="Times New Roman"/>
          <w:sz w:val="18"/>
          <w:szCs w:val="18"/>
          <w:color w:val="231F20"/>
        </w:rPr>
        <w:t>March 31, 2026, as compared to 12.1% for the three months ended March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2025. </w:t>
      </w:r>
      <w:r>
        <w:rPr>
          <w:rFonts w:ascii="Times New Roman" w:cs="Times New Roman" w:eastAsia="Times New Roman" w:hAnsi="Times New Roman"/>
          <w:sz w:val="18"/>
          <w:szCs w:val="18"/>
          <w:color w:val="000000"/>
        </w:rPr>
        <w:t>The increase in Gross Profit Margin reflects scale benefits across higher volumes and operating cost control, offset in part by higher amortization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expense resulting from intangible assets recognized as part of 2025 and early 2026 acquisitions.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Gross Profit Margin performance was further offset by market and end use expansions which carried a lower initial margin profile. The Company expects margin performance to improve over time as these expansions integrate and anticipated scale benefits are realized.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$10.1 million, or 6% of revenue, for the three months ended March 31, 2026, compared to $2.1 million, or 3.4% of revenue, for the three months ended March 31, 2025. The increase was primarily attributable to non-recurring acquisition-related costs as well as the Company's transition to operating as a public company, including increased compliance, governance, and reporting costs. The Company also increased headcount within its estimating function in anticipation of continued growth. Excluding non-recurring impacts, continuing general and administrative expenses were 4% of revenue for the three months ended March 31, 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Depreciation </w:t>
      </w:r>
      <w:r>
        <w:rPr>
          <w:rFonts w:ascii="Times New Roman" w:cs="Times New Roman" w:eastAsia="Times New Roman" w:hAnsi="Times New Roman"/>
          <w:sz w:val="18"/>
          <w:szCs w:val="18"/>
          <w:b w:val="1"/>
          <w:bCs w:val="1"/>
          <w:i w:val="1"/>
          <w:iCs w:val="1"/>
          <w:color w:val="231F20"/>
        </w:rPr>
        <w:t>and Amortization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 xml:space="preserve">Depreciation and amortization was $9.3 million for the three months </w:t>
      </w:r>
      <w:r>
        <w:rPr>
          <w:rFonts w:ascii="Times New Roman" w:cs="Times New Roman" w:eastAsia="Times New Roman" w:hAnsi="Times New Roman"/>
          <w:sz w:val="18"/>
          <w:szCs w:val="18"/>
          <w:color w:val="000000"/>
        </w:rPr>
        <w:t>ended March 31, 2026, compared to $6.6 million for the three months ended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March 31, 2025. </w:t>
      </w:r>
      <w:r>
        <w:rPr>
          <w:rFonts w:ascii="Times New Roman" w:cs="Times New Roman" w:eastAsia="Times New Roman" w:hAnsi="Times New Roman"/>
          <w:sz w:val="18"/>
          <w:szCs w:val="18"/>
          <w:color w:val="231F20"/>
        </w:rPr>
        <w:t>The increase was primarily driven by</w:t>
      </w:r>
      <w:r>
        <w:rPr>
          <w:rFonts w:ascii="Times New Roman" w:cs="Times New Roman" w:eastAsia="Times New Roman" w:hAnsi="Times New Roman"/>
          <w:sz w:val="18"/>
          <w:szCs w:val="18"/>
          <w:color w:val="000000"/>
        </w:rPr>
        <w:t xml:space="preserve"> intangible assets recognized as part of purchase accounting and equipment purchased through 2025 and early 2026 acquisitions, followed by </w:t>
      </w:r>
      <w:r>
        <w:rPr>
          <w:rFonts w:ascii="Times New Roman" w:cs="Times New Roman" w:eastAsia="Times New Roman" w:hAnsi="Times New Roman"/>
          <w:sz w:val="18"/>
          <w:szCs w:val="18"/>
          <w:color w:val="231F20"/>
        </w:rPr>
        <w:t>increased depreciation related to recent capital expenditures for the Company’s legacy operations. The increase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was partially offset by a change in the Company's depreciation method for fixed assets from the accelerated method to straight-line, effective January 1, 2026, which resulted in a reduction of depreciation expense of approximately $0.6 million for the three months ended March 31, 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w:t>
      </w:r>
      <w:r>
        <w:rPr>
          <w:rFonts w:ascii="Times New Roman" w:cs="Times New Roman" w:eastAsia="Times New Roman" w:hAnsi="Times New Roman"/>
          <w:sz w:val="18"/>
          <w:szCs w:val="18"/>
          <w:b w:val="1"/>
          <w:bCs w:val="1"/>
          <w:i w:val="1"/>
          <w:iCs w:val="1"/>
          <w:color w:val="231F20"/>
        </w:rPr>
        <w:t>Expense, Net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 xml:space="preserve">Interest expense, net was $2.2 million for the three months </w:t>
      </w:r>
      <w:r>
        <w:rPr>
          <w:rFonts w:ascii="Times New Roman" w:cs="Times New Roman" w:eastAsia="Times New Roman" w:hAnsi="Times New Roman"/>
          <w:sz w:val="18"/>
          <w:szCs w:val="18"/>
          <w:color w:val="000000"/>
        </w:rPr>
        <w:t>ended March 31, 2026, compared to $1.0 million for the three months ended March 31,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2025. </w:t>
      </w:r>
      <w:r>
        <w:rPr>
          <w:rFonts w:ascii="Times New Roman" w:cs="Times New Roman" w:eastAsia="Times New Roman" w:hAnsi="Times New Roman"/>
          <w:sz w:val="18"/>
          <w:szCs w:val="18"/>
          <w:color w:val="231F20"/>
        </w:rPr>
        <w:t>The increase was primarily attributable to higher outstanding debt primarily to finance our acquisitions completed in 2025 and early 2026, partially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offset by an increase in interest income of $0.6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w:t>
      </w:r>
      <w:r>
        <w:rPr>
          <w:rFonts w:ascii="Times New Roman" w:cs="Times New Roman" w:eastAsia="Times New Roman" w:hAnsi="Times New Roman"/>
          <w:sz w:val="18"/>
          <w:szCs w:val="18"/>
          <w:b w:val="1"/>
          <w:bCs w:val="1"/>
          <w:i w:val="1"/>
          <w:iCs w:val="1"/>
          <w:color w:val="231F20"/>
        </w:rPr>
        <w:t>Expenses, Net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231F20"/>
        </w:rPr>
        <w:t xml:space="preserve">Changes in other expenses, net </w:t>
      </w:r>
      <w:r>
        <w:rPr>
          <w:rFonts w:ascii="Times New Roman" w:cs="Times New Roman" w:eastAsia="Times New Roman" w:hAnsi="Times New Roman"/>
          <w:sz w:val="18"/>
          <w:szCs w:val="18"/>
          <w:color w:val="000000"/>
        </w:rPr>
        <w:t>for the three months ended March 31, 2026 were immaterial.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w:t>
      </w:r>
      <w:r>
        <w:rPr>
          <w:rFonts w:ascii="Times New Roman" w:cs="Times New Roman" w:eastAsia="Times New Roman" w:hAnsi="Times New Roman"/>
          <w:sz w:val="18"/>
          <w:szCs w:val="18"/>
          <w:b w:val="1"/>
          <w:bCs w:val="1"/>
          <w:i w:val="1"/>
          <w:iCs w:val="1"/>
          <w:color w:val="231F20"/>
        </w:rPr>
        <w:t>Tax Expense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Total income tax expense was $1.1 million for the three months ended March 31, 2026 as compared with $0.0 million for the three months ended March 31, 2025. In 2025, subsequent to the first quarter, the Company elected to pay the North Carolina Pass-Through Entity tax on behalf of its members, with a statutory rate of 4.5% in 2024 and 4.25% in 2025. Following the Reorganization, the Company is subject to U.S. federal, state, and local income taxes on its share of Cardinal's taxable income. Accordingly, income tax expense for the quarter ended March 31, 2026 reflects a fundamentally different tax profile than in prior years.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Total net income attributable to noncontrolling interest was $8.1 million for the three months ended March 31, 2026, a 592.2% increase compared to $1.2 million for the three months ended March 31, 2025. The $6.9 million increase primarily reflects the share of net income allocated to Continuing Equity Holders of LLC units following the IPO. This was partially offset by lower income attributed to minority interest after the Company acquired the remaining ownership interests as a result of the Reorganization transactions in September 2025. As the Company operates under an Up-C arrangement, the ownership attributed to OpCo units held by Continuing Equity Holders is presented as noncontrolling interests on the condensed consolidated balance sheets and income attributable to those units is recognized in proportion to their ownership as an increase to net income attributable to noncontrolling interests in the Condensed Consolidated Statements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Sources of Capital</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 xml:space="preserve">We believe existing cash, availability under our October 2025 Credit Facility and positive cash flows from operations </w:t>
      </w:r>
      <w:r>
        <w:rPr>
          <w:rFonts w:ascii="Times New Roman" w:cs="Times New Roman" w:eastAsia="Times New Roman" w:hAnsi="Times New Roman"/>
          <w:sz w:val="18"/>
          <w:szCs w:val="18"/>
          <w:color w:val="000000"/>
        </w:rPr>
        <w:t>will</w:t>
      </w:r>
      <w:r>
        <w:rPr>
          <w:rFonts w:ascii="Times New Roman" w:cs="Times New Roman" w:eastAsia="Times New Roman" w:hAnsi="Times New Roman"/>
          <w:sz w:val="18"/>
          <w:szCs w:val="18"/>
          <w:color w:val="231F20"/>
        </w:rPr>
        <w:t xml:space="preserve"> be sufficient to support working capital and capital expenditure requirements for at least the next 12 months. We have historically generated cash and funded our operations primarily from cash flows from operating activities as well as availability under our credit facilities and other borrowings. We exercise strict controls and have a prudent strategy for our cash management.</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In the coming 12 months, our primary funding needs will revolve around the completion of projects and operating expenses, including interest on our October 2025 Credit Facility. Additionally, we may seek to use our capital to enter new markets or expand in current markets through acquisitions or greenfield startups if we believe such markets fit our business model. To address these short-term liquidity requirements, we anticipate relying on our existing cash and cash equivalents, as well as the net cash flows generated by our operations and availability under our October 2025 Credit Facility. However, we remain open to seeking additional capital if necessary to enhance our liquidity position, further enable strategic acquisitions, and fortify our long-term capital structure.</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Looking beyond the next 12 months, our primary funding needs will continue to center around project management, growth into new and existing markets, and interest payments on our October 2025 Credit Facility. We expect our existing cash reserves, along with generated cash flows and availability under our October 2025 Credit Facility, will be sufficient to fund our ongoing operational activities and provide the necessary capital for future projects and related growth strategies.</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To the extent our current liquidity is insufficient to fund future activities, we may need to raise additional funds, such as refinancing or securing new secured or unsecured debt, common and preferred equity, disposing of certain assets to fund our operations, and/or other public or private sources of capital. If we raise additional funds by issuing equity securities, the ownership of our existing stockholders will be diluted. The incurrence of additional debt financing would result in debt service obligations, and any future instruments governing such debt could provide for operating and financing covenants that could restrict our operations. We cannot assure you that we could obtain refinancing or additional financing on favorable terms or at all. See “Part I. Item 1A. Risk Factors — Access to financing sources may not be available on favorable terms, or at all, especially in light of current market conditions, which could adversely affect our ability to maximize our returns.”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Total cash at March 31, 2026 and 2025 were $44.0 million and $22.8 million, respectively. The following table presents consolidated information about cash flows: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20" w:type="dxa"/>
            <w:vAlign w:val="bottom"/>
          </w:tcPr>
          <w:p>
            <w:pPr>
              <w:spacing w:after="0"/>
              <w:rPr>
                <w:sz w:val="18"/>
                <w:szCs w:val="18"/>
                <w:color w:val="auto"/>
              </w:rPr>
            </w:pPr>
          </w:p>
        </w:tc>
        <w:tc>
          <w:tcPr>
            <w:tcW w:w="3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Quarter ended March 31,</w:t>
            </w:r>
          </w:p>
        </w:tc>
        <w:tc>
          <w:tcPr>
            <w:tcW w:w="1460" w:type="dxa"/>
            <w:vAlign w:val="bottom"/>
            <w:vMerge w:val="restart"/>
          </w:tcPr>
          <w:p>
            <w:pPr>
              <w:jc w:val="right"/>
              <w:ind w:right="9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220" w:type="dxa"/>
            <w:vAlign w:val="bottom"/>
          </w:tcPr>
          <w:p>
            <w:pPr>
              <w:spacing w:after="0"/>
              <w:rPr>
                <w:sz w:val="17"/>
                <w:szCs w:val="17"/>
                <w:color w:val="auto"/>
              </w:rPr>
            </w:pPr>
          </w:p>
        </w:tc>
        <w:tc>
          <w:tcPr>
            <w:tcW w:w="326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940" w:type="dxa"/>
            <w:vAlign w:val="bottom"/>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26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9,317,019</w:t>
            </w:r>
          </w:p>
        </w:tc>
        <w:tc>
          <w:tcPr>
            <w:tcW w:w="220" w:type="dxa"/>
            <w:vAlign w:val="bottom"/>
          </w:tcPr>
          <w:p>
            <w:pPr>
              <w:spacing w:after="0"/>
              <w:rPr>
                <w:sz w:val="18"/>
                <w:szCs w:val="18"/>
                <w:color w:val="auto"/>
              </w:rPr>
            </w:pPr>
          </w:p>
        </w:tc>
        <w:tc>
          <w:tcPr>
            <w:tcW w:w="10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12,092,682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9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9"/>
              </w:rPr>
              <w:t>(134,794,623)</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(24,221,084)</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94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72,311,046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13,991,834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3260" w:type="dxa"/>
            <w:vAlign w:val="bottom"/>
            <w:gridSpan w:val="2"/>
            <w:shd w:val="clear" w:color="auto" w:fill="CFF0FC"/>
          </w:tcPr>
          <w:p>
            <w:pPr>
              <w:jc w:val="right"/>
              <w:ind w:right="1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(53,166,558)</w:t>
            </w:r>
          </w:p>
        </w:tc>
        <w:tc>
          <w:tcPr>
            <w:tcW w:w="1000" w:type="dxa"/>
            <w:vAlign w:val="bottom"/>
            <w:gridSpan w:val="2"/>
            <w:shd w:val="clear" w:color="auto" w:fill="CFF0FC"/>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1,863,432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shd w:val="clear" w:color="auto" w:fill="CFF0FC"/>
          </w:tcPr>
          <w:p>
            <w:pPr>
              <w:spacing w:after="0" w:line="20" w:lineRule="exact"/>
              <w:rPr>
                <w:sz w:val="1"/>
                <w:szCs w:val="1"/>
                <w:color w:val="auto"/>
              </w:rPr>
            </w:pPr>
          </w:p>
        </w:tc>
        <w:tc>
          <w:tcPr>
            <w:tcW w:w="194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net cash provided by operating activities was $9.3 million compared to net cash provided by operating activities of $12.1 million for the quarter ended March 31, 2025. The $2.8 million decrease was primarily driven by increased working capital requirements consistent with our growth, specifically increased billings not yet collected for the three months ended March 31, 2026, as well as the Company's transition to operating as a public company, including increased compliance, governance, and reporting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net cash used in investing activities was $134.8 million compared to net cash used of $24.2 million for the three months ended March 31, 2025. The $110.6 million increase was primarily due to the acquisition of ALGC.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net cash provided by financing activities was $72.3 million compared to net cash used of $14.0 million for the three months ended March 31, 2025. The $58.3 million increase was primarily driven by increased proceeds from notes payable, primarily to fund the acquisition of ALGC.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 Debt and Other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to our available cash and cash provided by operations, from time to time we use borrowings to finance acquisitions, our capital expenditures and working capital needs.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October 2025 Credit Facility</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October 1, 2025, Cardinal NC, Cardinal and our wholly owned subsidiaries entered into a credit facility (the “October 2025 Credit Facility”) with Truist Bank, as administrative agent and lender, and the other lenders thereto from time to time, which refinanced the approximately $6.3 million outstanding under the senior secured credit facility dated as of October 18, 2024 with Truist Bank as lender thereto (the “October 2024 Credit Facility”) and refinanced the approximately $74.8 million outstanding under the master equipment security agreement dated as of October 21, 2024, as amended, with Truist Equipment Finance Corp as lender thereto (the “Equipment Facility”). Cardinal Group is not a party to the October 2025 Credit Facility. The October 2025 Credit Facility, among other things, (i) established a revolving credit facility of $75.0 million in aggregate principal amount, including a $10.0 million letter of credit sub-facility and a $10.0 million swingline sub-facility and (ii) established a term loan facility of $120.0 million in aggregate principal amount. The October 2025 Credit Facility has a maturity date of October 1, 2030. The obligations under the October 2025 Credit Facility are secured by substantially all of our assets and the assets of the subsidiary guarantors.</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commitments under the revolving credit facility terminate on October 1, 2030. Amounts under the term loan facility are subject to amortization in quarterly installments, commencing on March 31, 2026 in aggregate annual amounts equal to, (i) during the first and second years, five percent of the original amount borrowed and (ii) during the third, fourth and fifth years, seven and one-half of one percent of the original amount borrowed, with the remaining principal balance advanced under the term loan facility due on October 1, 2030.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8" w:name="page39"/>
    <w:bookmarkEnd w:id="38"/>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Borrowings under the October 2025 Credit Facility bear interest, at the borrower’s option, at either the base rate, SOFR Index or Term SOFR (which Term SOFR borrowings may be based on 1-, 3- or 6-month interest periods, in each case at the borrower’s option), plus an applicable margin. The applicable margin ranges from 0.875% to 1.625% per annum with respect to base rate borrowings and 1.875% to 2.625% per annum with respect to SOFR index and Term SOFR borrowings, in each case based on our leverage ratio as determined in accordance with a pricing grid set forth in the October 2025 Credit Facility. Interest is payable quarterly in arrears on the last day of each March, June, September and December. The October 2025 Credit Facility contains certain financial covenants, among others, including requirements commencing with the fiscal quarter ending March 31, 2026 to maintain a maximum leverage ratio of no greater than 2.50x and a minimum consolidated fixed charge coverage ratio of not less than 1.25x, in each case, tested on a quarterly basis.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Additionally, the October 2025 Credit Facility contains certain covenants that restrict certain activities of Cardinal Group and its subsidiaries. The October 2025 Credit Facility also contains customary events of default relating to, among other things, failure to make interest and principal payments when due and payable, breach of certain covenants and breach of representations and warranties. If an event of default occurs and is continuing, the borrowers may be required immediately to repay all amounts outstanding under the October 2025 Credit Facility.</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2025, outstanding borrowings under the term loan facility of the October 2025 Credit Facility totaled $120.0 million and we had no outstanding borrowings under the revolving facility of the October 2025 Credit Facility. We used a portion of the net proceeds from the IPO to repay $24.3 million outstanding under the revolving facility of the October 2025 Credit Facility (the “Debt Repayment”). Following the Debt Repayment, and incorporating all transactions up to December 31, 2025, we have $75.0 million of availability. As of March 31, 2026, Cardinal was in compliance with all covenants under the October 2025 Facility.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w:t>
      </w:r>
    </w:p>
    <w:p>
      <w:pPr>
        <w:spacing w:after="0" w:line="121"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In January 2026, Cardinal entered into an interest rate swap for $60.0 million of the total facility, with principal payment terms that match the October 2025 Facility, which is the underlying credit facility. Terms of the swap fix the overall rate assuming a term SOFR rate at 3.8%.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February 2026 Credit Facility Amendment</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February 18, 2026, Cardinal and other guarantors party thereto entered into an amendment to the October 2025 Credit Facility (the "First Amendment") with Truist Bank, as administrative agent and lender. Under the First Amendment, the lenders provided an additional $80.0 million in term loans on the amendment effective date. The additional borrowing was made to fund the acquisition of ALGC. The additional advance was not provided as an incremental facility under the October 2025 Credit Facility and does not reduce the facility's remaining incremental capacity.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October 2024 Credit Facility</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October 18, 2024, Cardinal NC and certain of its wholly owned subsidiaries entered into an approximately $11.5 million senior secured credit facility with Truist Bank as lender, which consists of (i) senior secured first lien term loan facility” in the aggregate principal amount of approximately $1.5 million and (ii) a senior secured first lien revolving credit facility that provided up to $10.0 million. The obligations under the October 2024 Credit Facility were secured by substantially all of our assets and the assets of the subsidiary guarantors, subject to certain permitted liens and interest of other parties. Borrowings under the term loan facility bear interest at an Adjusted Term SOFR Rate (as defined in the term loan facility). The term loan facility contained certain financial covenants, among others, including a (i) maximum leverage ratio and (ii) a minimum fixed charge coverage ratio.</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January 2025, Cardinal entered into a $7.2 million debt agreement with a financial institution in connection with the acquisition of Purcell to finance the purchase price. The note payable was secured by real property and assignment of rents and was payable in monthly principal installments over five years with interest payable monthly based on SOFR plus 2.35%.</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All amounts outstanding under the October 2024 Credit Facility were repaid with a portion of the proceeds from borrowings under the October 2025 Credit Facility, and the October 2024 Facility was terminated.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Equipment Financing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October 21, 2024, Cardinal and certain of our wholly owned subsidiaries entered into a master equipment security agreement with Truist Equipment Finance Corp. as lender, which consisted of a senior secured first lien facility evidenced by promissory notes in an initial aggregate principal amount of approximately $45.9 million. The obligations under the Equipment Facility were secured by substantially all of our assets and the subsidiary guarantors. Borrowings under the Equipment Facility bore interest at an Adjusted Term SOFR Rate (as defined in the Equipment Facility). As of March 31, 2026, we were in compliance with all covenants under the Equipment Facility.</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January 2025, Cardinal entered into an agreement which amended the terms of the Equipment Facility (the “Equipment Facility Amendment”) to increase the borrowing capacity for future purchases of equipment, trucks and trailers, which increased the borrowing capacity for future purchases to $27.0 million. In addition, the Equipment Facility Amendment also provided for additional borrowing capacity up to $6.0 million for construction of an asphalt plant.</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October 2025, all amounts outstanding under the Equipment Facility were repaid with a portion of the proceeds from borrowings under the October 2025 Credit Facility and the Equipment Facility was terminated.</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2025, Cardinal entered into a $1,087,500 Note Payable with First American Commercial Bankcorp., Inc. to finance equipment. Interest on the Note Payable is based on Compounded SOFR, calculated daily, with interest payable monthly and scheduled monthly principal amortization. The Note Payable matures January 1, 2031. Monthly principal installments of $7,552 are due through December 1, 2030, with the remaining principal balance of $641,927 due as a final balloon payment on January 1, 2031.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and Other</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October 2025 Credit Facility contains various affirmative and negative covenants that may, subject to certain exceptions, restrict our ability and the ability of our subsidiaries to, among other things, grant liens, incur additional indebtedness, make loans, advances or other investments, make non-ordinary course asset sales, declare or pay dividends or make other distributions with respect to equity interests, purchase, redeem or otherwise acquire or retire capital stock or other equity interests, or merge or consolidate with any other person, among various other things. In addition, Cardinal is required to maintain certain financial covenants, including, among others, requirements commencing with the fiscal quarter ending March 31, 2026 to maintain a maximum leverage ratio of no greater than 2.50x and a minimum consolidated fixed charge coverage ratio of not less than 1.25x, in each case, tested on a quarterly basis. As of December 31, 2025, we were in compliance with all of our restrictive and financial covenants. Our debt is recorded at its carrying amount in the Condensed Consolidated Balance Sheets. Based upon the current market rates for debt with similar credit risk and maturities, at March 31, 2026 the fair value of our debt outstanding approximated the carrying value, as interest is based on Term SOFR (as defined in the October 2025 Credit Agreement) plus an applicable margin.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Cardinal has equipment under finance leases that have payments through various dates with the earliest lease beginning in July 2022 and the final lease expiring in December 2028. As of March 31, 2026, Cardinal had a total of $9.0 million of minimum finance lease payments remaining. The assets and liabilities under the finance leases are recorded at the present value of the future minimum lease payments using a weighted-average discount rate of 4.80%. As of March 31, 2026, the weighted-average remaining lease term was 2.44 years. Further information regarding finance leases can be found in </w:t>
      </w:r>
      <w:r>
        <w:rPr>
          <w:rFonts w:ascii="Times New Roman" w:cs="Times New Roman" w:eastAsia="Times New Roman" w:hAnsi="Times New Roman"/>
          <w:sz w:val="18"/>
          <w:szCs w:val="18"/>
          <w:i w:val="1"/>
          <w:iCs w:val="1"/>
          <w:color w:val="auto"/>
        </w:rPr>
        <w:t xml:space="preserve">Note 8 — Leases </w:t>
      </w:r>
      <w:r>
        <w:rPr>
          <w:rFonts w:ascii="Times New Roman" w:cs="Times New Roman" w:eastAsia="Times New Roman" w:hAnsi="Times New Roman"/>
          <w:sz w:val="18"/>
          <w:szCs w:val="18"/>
          <w:color w:val="auto"/>
        </w:rPr>
        <w:t>to Cardinal’s audited financial statements included elsewhere in this Report for more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believe existing cash, cash flows from operations and our other borrowings will be sufficient to support working capital and capital expenditure requirements for at least the next 12 months. Furthermore, we are continually assessing ways to increase revenues and reduce costs to improve liquidity. However, in the event of a substantial cash constraint, and if we were unable to secure adequate debt financing, our liquidity could be materially and adversely affected.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to our available cash and cash provided by operations and borrowings, from time to time we may issue common stock to finance acquisitions.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Bonding</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Surety bonds are required in substantially all publicly funded construction projects (DOT and municipal) but are not typically required for private sector work. For the quarter ended March 31, 2026, we generated approximately 3% of our revenue from publicly funded construction projects. In situations where our customers require it, we procure surety bonds to secure our performance under those construction contracts. Our ability to obtain surety bonds primarily depends upon our capitalization, working capital, past performance, management expertise and reputation and certain external factors, including the overall capacity of the surety market. Surety companies consider such factors in relationship to the amount of our backlog and their underwriting standards, which may change from time to time. We have pledged all proceeds and other rights under our construction contracts to our bond surety company. Events that affect the insurance and bonding markets may result in bonding becoming more difficult to obtain in the future, or being available only at a significantly greater cost. To date, we have not encountered difficulties or material cost increases in obtaining new surety bonds.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Strategy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will continue to explore additional revenue growth and capital alternatives to improve leverage and strengthen its financial position in order to take advantage of trends in the civil infrastructure markets. We expect to pursue strategic uses of cash, such as investing in capital projects or businesses which meet our Gross Profit Margin and overall profitability targets, managing debt balances, and repurchasing shares of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Liquidity Requirements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a holding company we have no material assets other than our ownership of LLC units. We have no independent means of generating revenue. Cardinal’s Operating Agreement provides for the payment of certain distributions to the Continuing Equity Holders and to us in amounts sufficient to cover the income taxes imposed on such members with respect to the allocation of taxable income from Cardinal as well as to cover our obligations under the Tax Receivable Agreement and other administrative expenses.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Regarding the ability of Cardinal to make distributions to us, the terms of their financing arrangements (including the October 2025 Credit Facility) contain covenants that may restrict Cardinal from paying such distributions, subject to certain exceptions. Further, Cardinal will generally be prohibited under Delaware law from making a distribution to a member to the extent that, at the time of the distribution, after giving effect to the distribution, liabilities of Cardinal (with certain exceptions), as applicable, exceed the fair value of its assets.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under the Tax Receivable Agreement, we will be required to make cash payments to the Continuing Equity Holders equal to 85% of the tax benefits, if any, that we actually realize (or in certain circumstances are deemed to realize), as a result of (i) Basis Adjustments and (ii) certain tax benefits (such as interest deductions) arising from payments made under the Tax Receivable Agreement. We expect the amount of the cash payments that we will be required to make under the Tax Receivable Agreement will be significant. The actual amount and timing of any payments under the Tax Receivable Agreement will vary depending upon a number of factors, including the timing of redemptions or exchanges by the Continuing Equity Holders, the amount of gain recognized by the Continuing Equity Holders, the amount and timing of the taxable income we generate in the future, and the federal tax rates then applicable. Any payments made by us to the Continuing Equity Holders under the Tax Receivable Agreement will generally reduce the amount of overall cash flow that might have otherwise been available to us.</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in the event we declare any cash dividends, we intend to cause Cardinal to make distributions to us in amounts sufficient to fund such cash dividends declared by us to our stockholders. Deterioration in the financial condition, earnings, or cash flow of Cardinal for any reason could limit or impair their ability to pay such distributions.</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do not have sufficient funds to pay taxes or other liabilities or to fund our operations, we may have to borrow funds, which could materially adversely affect our liquidity and financial condition and subject us to various restrictions imposed by any such lenders. To the extent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In addition, if Cardinal does not have sufficient funds to make distributions, our ability to declare and pay cash dividends will also be restricted or impaired.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p>
      <w:pPr>
        <w:ind w:firstLine="509"/>
        <w:spacing w:after="0" w:line="282" w:lineRule="auto"/>
        <w:rPr>
          <w:sz w:val="20"/>
          <w:szCs w:val="20"/>
          <w:color w:val="auto"/>
        </w:rPr>
      </w:pPr>
      <w:r>
        <w:rPr>
          <w:rFonts w:ascii="Times New Roman" w:cs="Times New Roman" w:eastAsia="Times New Roman" w:hAnsi="Times New Roman"/>
          <w:sz w:val="18"/>
          <w:szCs w:val="18"/>
          <w:color w:val="auto"/>
        </w:rPr>
        <w:t>See “Part II. Item 1A. Risk Factors — Risks Related to Our Organizational Structure” in our 2025 10-K and “Certain Relationships and Related Party Transactions” in our Registration Statement on Form S-1 (File No. 333-290850) filed with the SEC on December 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material cash requirements from contractual obligations at March 31, 2026:</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2027-2028</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2029-2030</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20" w:type="dxa"/>
            <w:vAlign w:val="bottom"/>
          </w:tcPr>
          <w:p>
            <w:pPr>
              <w:spacing w:after="0"/>
              <w:rPr>
                <w:sz w:val="18"/>
                <w:szCs w:val="18"/>
                <w:color w:val="auto"/>
              </w:rPr>
            </w:pPr>
          </w:p>
        </w:tc>
      </w:tr>
      <w:tr>
        <w:trPr>
          <w:trHeight w:val="212"/>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 obligations</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197,500</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163,750</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notes payable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Pr>
          <w:p>
            <w:pPr>
              <w:spacing w:after="0"/>
              <w:rPr>
                <w:sz w:val="18"/>
                <w:szCs w:val="18"/>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Unconditional Purchase Obligations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tcBorders>
              <w:bottom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4"/>
                <w:szCs w:val="24"/>
                <w:color w:val="auto"/>
                <w:vertAlign w:val="superscript"/>
              </w:rPr>
              <w:t>(1)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46,409</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13,361</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20,165</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254,569</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16,786</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171,884</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20,807</w:t>
            </w:r>
          </w:p>
        </w:tc>
        <w:tc>
          <w:tcPr>
            <w:tcW w:w="120" w:type="dxa"/>
            <w:vAlign w:val="bottom"/>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3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-264795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-264795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-264795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-264795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-264795</wp:posOffset>
            </wp:positionV>
            <wp:extent cx="774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interest obligation on finance lease and operating lease obligations and operating leases executed but not yet commenced as of the reporting date.</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Capital equipment is acquired as needed by increased levels of production and to replace retiring equipment. Capital expenditures, net of disposals, incurred during the quarter ended March 31, 2026 were $9.3 million. Management expects capital expenditures will be materially higher than prior years because we have begun building our own asphalt manufacturing plant, and we are upgrading the fleet of Cardinal and may make strategic acquisitions. Capital expenditures, net of disposals, incurred during the quarter ended March 31, 2025 were $10.4 million. The award of a project requiring significant purchases of equipment or other factors could result in increased expenditures.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Other Factors Impacting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 (period end)</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 xml:space="preserve">Backlog at period end represents our estimate of future revenue from our construction contracts. We add the revenue value of new contracts to backlog when secured through negotiated private transactions or when we are the low bidder on a public sector contract and management determines there are no apparent impediments to award. As work progresses, backlog is adjusted to reflect changes in estimated quantities under fixed unit price contracts, </w:t>
      </w:r>
      <w:r>
        <w:rPr>
          <w:rFonts w:ascii="Times New Roman" w:cs="Times New Roman" w:eastAsia="Times New Roman" w:hAnsi="Times New Roman"/>
          <w:sz w:val="18"/>
          <w:szCs w:val="18"/>
          <w:color w:val="000000"/>
        </w:rPr>
        <w:t>as well as to reflect changed conditions, change orders and other variations from initially anticipated contract revenues and costs, including completion penalties and bonuses. Revenue recognized on contracts and contracts cancellations are deducted from backlog.</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Backlog is a key operational metric used by management to assess future revenue visibility and anticipated business activity. It is not defined under U.S. GAAP and differs from the remaining performance obligations disclosed in our financial statements under ASC 606. The primary difference is that backlog includes project commitments and signed contracts that have not yet commenced, whereas remaining performance obligations include only contracts for which performance has begun.</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While there is uncertainty in the availability and timing of new bid opportunities and the award of new contracts, many of which involve a lengthy and complex design and bidding process, our backlog reflects contracts and commitments that have already been awarded, including certain commitments from customers with whom we have a demonstrated history of successful conversion to executed contracts. Though backlog provides visibility into potential future revenue, it remains subject to execution risks, including potential cancellation, scope changes, permitting delays, and deferred start dates. As a result, the timing and amount of revenue ultimately realized from backlog may differ from our current estimates, and backlog at any point in time should not be viewed as a guarantee of future revenue or profitability. See “Part I. Item 1A. Risk Factors — Risks Related to Our Business and Industry.”</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a roll forward of our backlog at the periods indicated. The roll forward reflects the value of new awards and adjustments to existing contracts, and reductions for revenue recognized as projects progress.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7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60" w:type="dxa"/>
            <w:vAlign w:val="bottom"/>
          </w:tcPr>
          <w:p>
            <w:pPr>
              <w:spacing w:after="0"/>
              <w:rPr>
                <w:sz w:val="15"/>
                <w:szCs w:val="15"/>
                <w:color w:val="auto"/>
              </w:rPr>
            </w:pPr>
          </w:p>
        </w:tc>
      </w:tr>
      <w:tr>
        <w:trPr>
          <w:trHeight w:val="196"/>
        </w:trPr>
        <w:tc>
          <w:tcPr>
            <w:tcW w:w="7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Opening backlog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682,000,000</w:t>
            </w: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512,000,000</w:t>
            </w:r>
          </w:p>
        </w:tc>
        <w:tc>
          <w:tcPr>
            <w:tcW w:w="260" w:type="dxa"/>
            <w:vAlign w:val="bottom"/>
            <w:shd w:val="clear" w:color="auto" w:fill="CCEEFF"/>
          </w:tcPr>
          <w:p>
            <w:pPr>
              <w:spacing w:after="0"/>
              <w:rPr>
                <w:sz w:val="17"/>
                <w:szCs w:val="17"/>
                <w:color w:val="auto"/>
              </w:rPr>
            </w:pPr>
          </w:p>
        </w:tc>
      </w:tr>
      <w:tr>
        <w:trPr>
          <w:trHeight w:val="203"/>
        </w:trPr>
        <w:tc>
          <w:tcPr>
            <w:tcW w:w="7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Add: New awards and adjustments to existing contracts</w:t>
            </w:r>
          </w:p>
        </w:tc>
        <w:tc>
          <w:tcPr>
            <w:tcW w:w="1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340,000,000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102,000,000</w:t>
            </w:r>
          </w:p>
        </w:tc>
        <w:tc>
          <w:tcPr>
            <w:tcW w:w="260" w:type="dxa"/>
            <w:vAlign w:val="bottom"/>
          </w:tcPr>
          <w:p>
            <w:pPr>
              <w:spacing w:after="0"/>
              <w:rPr>
                <w:sz w:val="17"/>
                <w:szCs w:val="17"/>
                <w:color w:val="auto"/>
              </w:rPr>
            </w:pPr>
          </w:p>
        </w:tc>
      </w:tr>
      <w:tr>
        <w:trPr>
          <w:trHeight w:val="203"/>
        </w:trPr>
        <w:tc>
          <w:tcPr>
            <w:tcW w:w="7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Less: Revenue recognized on contracts in progress</w:t>
            </w:r>
          </w:p>
        </w:tc>
        <w:tc>
          <w:tcPr>
            <w:tcW w:w="1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(168,000,000)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(82,000,000)</w:t>
            </w:r>
          </w:p>
        </w:tc>
      </w:tr>
      <w:tr>
        <w:trPr>
          <w:trHeight w:val="20"/>
        </w:trPr>
        <w:tc>
          <w:tcPr>
            <w:tcW w:w="7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196"/>
        </w:trPr>
        <w:tc>
          <w:tcPr>
            <w:tcW w:w="7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Ending backlog</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854,000,000</w:t>
            </w:r>
          </w:p>
        </w:tc>
        <w:tc>
          <w:tcPr>
            <w:tcW w:w="160" w:type="dxa"/>
            <w:vAlign w:val="bottom"/>
          </w:tcPr>
          <w:p>
            <w:pPr>
              <w:spacing w:after="0"/>
              <w:rPr>
                <w:sz w:val="17"/>
                <w:szCs w:val="17"/>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532,000,000</w:t>
            </w:r>
          </w:p>
        </w:tc>
        <w:tc>
          <w:tcPr>
            <w:tcW w:w="260" w:type="dxa"/>
            <w:vAlign w:val="bottom"/>
          </w:tcPr>
          <w:p>
            <w:pPr>
              <w:spacing w:after="0"/>
              <w:rPr>
                <w:sz w:val="17"/>
                <w:szCs w:val="17"/>
                <w:color w:val="auto"/>
              </w:rPr>
            </w:pPr>
          </w:p>
        </w:tc>
      </w:tr>
      <w:tr>
        <w:trPr>
          <w:trHeight w:val="20"/>
        </w:trPr>
        <w:tc>
          <w:tcPr>
            <w:tcW w:w="7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-162560</wp:posOffset>
            </wp:positionV>
            <wp:extent cx="7747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-162560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27" w:lineRule="exact"/>
        <w:rPr>
          <w:sz w:val="20"/>
          <w:szCs w:val="20"/>
          <w:color w:val="auto"/>
        </w:rPr>
      </w:pPr>
      <w:r>
        <w:rPr>
          <w:rFonts w:ascii="Times New Roman" w:cs="Times New Roman" w:eastAsia="Times New Roman" w:hAnsi="Times New Roman"/>
          <w:sz w:val="18"/>
          <w:szCs w:val="18"/>
          <w:color w:val="auto"/>
        </w:rPr>
        <w:t>The increase in backlog was primarily due to new project awards, partially offset by revenue recognized on contracts in progress. The increase in new project awards was across the Company's Greensboro, Raleigh, Charlotte and Atlanta markets primarily due to organic growth, but also as a result of the 2025 acquisitions of Purcell, Page and Red Clay and 2026 acquisition of ALGC. Backlog growth was also driven by signed contracts that converted from letters of intent, supported by our investments in equipment and work crews through both organic and acquisition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purchases</w:t>
      </w:r>
    </w:p>
    <w:p>
      <w:pPr>
        <w:spacing w:after="0" w:line="173" w:lineRule="exact"/>
        <w:rPr>
          <w:sz w:val="20"/>
          <w:szCs w:val="20"/>
          <w:color w:val="auto"/>
        </w:rPr>
      </w:pPr>
    </w:p>
    <w:p>
      <w:pPr>
        <w:jc w:val="both"/>
        <w:ind w:firstLine="509"/>
        <w:spacing w:after="0" w:line="220" w:lineRule="exact"/>
        <w:rPr>
          <w:sz w:val="20"/>
          <w:szCs w:val="20"/>
          <w:color w:val="auto"/>
        </w:rPr>
      </w:pPr>
      <w:r>
        <w:rPr>
          <w:rFonts w:ascii="Times New Roman" w:cs="Times New Roman" w:eastAsia="Times New Roman" w:hAnsi="Times New Roman"/>
          <w:sz w:val="18"/>
          <w:szCs w:val="18"/>
          <w:color w:val="auto"/>
        </w:rPr>
        <w:t>We expect to recognize between $702 million and $776 million of our backlog within the twelve months following March 31, 2026. This estimated range is based on existing project schedules and other current assumptions. Actual timing and amounts may differ materially due to factors such as changes in project scope or schedules, weather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or customer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driven delays, and contract terminations. In addition to the revenues we expect to recognize from our existing backlog, we anticipate generating additional revenues during the same period from new project awards, renewals, and the conversion of verbal or other preliminary commitments into executed contracts.</w:t>
      </w:r>
    </w:p>
    <w:p>
      <w:pPr>
        <w:spacing w:after="0" w:line="20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The table below summarizes our project backlog at the dates indicated, categorized by stage of commitment. Categories range from projects in progress under executed contracts to early-stage awards with varying levels of customer commitment. Detailed descriptions of each category follow the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jc w:val="right"/>
              <w:ind w:right="1181"/>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5"/>
                <w:szCs w:val="15"/>
                <w:color w:val="auto"/>
              </w:rPr>
            </w:pPr>
          </w:p>
        </w:tc>
      </w:tr>
      <w:tr>
        <w:trPr>
          <w:trHeight w:val="196"/>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Signed contracts</w:t>
            </w: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570,000,000</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530,000,000</w:t>
            </w:r>
          </w:p>
        </w:tc>
        <w:tc>
          <w:tcPr>
            <w:tcW w:w="94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2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453,000,000</w:t>
            </w:r>
          </w:p>
        </w:tc>
        <w:tc>
          <w:tcPr>
            <w:tcW w:w="100" w:type="dxa"/>
            <w:vAlign w:val="bottom"/>
            <w:shd w:val="clear" w:color="auto" w:fill="CFF0FC"/>
          </w:tcPr>
          <w:p>
            <w:pPr>
              <w:spacing w:after="0"/>
              <w:rPr>
                <w:sz w:val="17"/>
                <w:szCs w:val="17"/>
                <w:color w:val="auto"/>
              </w:rPr>
            </w:pPr>
          </w:p>
        </w:tc>
      </w:tr>
      <w:tr>
        <w:trPr>
          <w:trHeight w:val="203"/>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Letters of intent and issued contracts</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284,000,000</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152,000,000</w:t>
            </w:r>
          </w:p>
        </w:tc>
        <w:tc>
          <w:tcPr>
            <w:tcW w:w="94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2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79,000,000</w:t>
            </w:r>
          </w:p>
        </w:tc>
        <w:tc>
          <w:tcPr>
            <w:tcW w:w="100" w:type="dxa"/>
            <w:vAlign w:val="bottom"/>
          </w:tcPr>
          <w:p>
            <w:pPr>
              <w:spacing w:after="0"/>
              <w:rPr>
                <w:sz w:val="17"/>
                <w:szCs w:val="17"/>
                <w:color w:val="auto"/>
              </w:rPr>
            </w:pPr>
          </w:p>
        </w:tc>
      </w:tr>
      <w:tr>
        <w:trPr>
          <w:trHeight w:val="20"/>
        </w:trPr>
        <w:tc>
          <w:tcPr>
            <w:tcW w:w="26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backlog</w:t>
            </w: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854,000,000</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682,000,000</w:t>
            </w:r>
          </w:p>
        </w:tc>
        <w:tc>
          <w:tcPr>
            <w:tcW w:w="94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2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532,000,000</w:t>
            </w:r>
          </w:p>
        </w:tc>
        <w:tc>
          <w:tcPr>
            <w:tcW w:w="100" w:type="dxa"/>
            <w:vAlign w:val="bottom"/>
            <w:shd w:val="clear" w:color="auto" w:fill="CFF0FC"/>
          </w:tcPr>
          <w:p>
            <w:pPr>
              <w:spacing w:after="0"/>
              <w:rPr>
                <w:sz w:val="18"/>
                <w:szCs w:val="18"/>
                <w:color w:val="auto"/>
              </w:rPr>
            </w:pPr>
          </w:p>
        </w:tc>
      </w:tr>
      <w:tr>
        <w:trPr>
          <w:trHeight w:val="20"/>
        </w:trPr>
        <w:tc>
          <w:tcPr>
            <w:tcW w:w="26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-24765</wp:posOffset>
            </wp:positionV>
            <wp:extent cx="7747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-7620</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Our signed contracts comprise executed agreements covering both active projects in which performance has begun and projects for which performance has not yet commenced. Our letters of intent and issued contracts represent arrangements in which the parties have reached agreement on principal terms, evidenced either by a signed letter of intent or by issuance of a written contract pending execution. Substantially all of the contracts in our backlog may be canceled at the election of the customer; however, neither our backlog nor our results of operations have been materially adversely affected by contract cancellations or modifications in the past. See “Business— Contracts — Contract Management Process” in our 2025 10-K.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Non-GAAP Financial Measures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In addition to our results determined in accordance with GAAP, we have provided information in this Report relating to Adjusted Gross Profit, Adjusted Gross Profit Margin, EBITDA, Adjusted EBITDA, EBITDA Margin and Adjusted EBITDA Margin. We believe Adjusted Gross Profit, Adjusted Gross Profit Margin, EBITDA, Adjusted EBITDA, EBITDA Margin and Adjusted EBITDA Margin provide useful information in measuring our operating performance, generating future operating plans and making strategic decisions regarding allocation of capital. Management believes this information presents helpful comparisons of financial performance between periods by excluding the effect of certain non-recurring items.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There are limitations to the use of the non-GAAP financial measures presented in this Report. For example, Adjusted Gross Profit, Adjusted Gross Profit Margin, EBITDA, Adjusted EBITDA, EBITDA Margin and Adjusted EBITDA Margin do not have standardized meanings prescribed by GAAP and therefore it may not be comparable to similarly titled measures presented by other companies, and it should not be considered in isolation from, or as a substitute for, financial information prepared in accordance with GAAP.</w:t>
      </w:r>
    </w:p>
    <w:p>
      <w:pPr>
        <w:spacing w:after="0" w:line="180" w:lineRule="exact"/>
        <w:rPr>
          <w:sz w:val="20"/>
          <w:szCs w:val="20"/>
          <w:color w:val="auto"/>
        </w:rPr>
      </w:pPr>
    </w:p>
    <w:p>
      <w:pPr>
        <w:jc w:val="both"/>
        <w:ind w:firstLine="509"/>
        <w:spacing w:after="0" w:line="220" w:lineRule="exact"/>
        <w:rPr>
          <w:sz w:val="20"/>
          <w:szCs w:val="20"/>
          <w:color w:val="auto"/>
        </w:rPr>
      </w:pPr>
      <w:r>
        <w:rPr>
          <w:rFonts w:ascii="Times New Roman" w:cs="Times New Roman" w:eastAsia="Times New Roman" w:hAnsi="Times New Roman"/>
          <w:sz w:val="18"/>
          <w:szCs w:val="18"/>
          <w:color w:val="231F20"/>
        </w:rPr>
        <w:t>We define Adjusted Gross Profit as total revenue less cost of sales, exclusive of depreciation and amortization. Adjusted Gross Profit Margin represents Adjusted Gross Profit as a percentage of total revenue. We include these measures as supplemental disclosures because they are primary metrics used by management to evaluate revenue and cost of sales performance, exclusive of depreciation and amortization, which are non</w:t>
      </w: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cash charges related to assets acquired or constructed in prior periods.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0" w:right="339" w:bottom="1440" w:gutter="0" w:footer="0" w:header="0"/>
        </w:sectPr>
      </w:pPr>
    </w:p>
    <w:bookmarkStart w:id="43" w:name="page44"/>
    <w:bookmarkEnd w:id="43"/>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We believe Adjusted Gross Profit Margin is useful because it focuses on the current operating performance of our projects and excludes the impact of historical asset costs, indirect costs associated with selling, general and administrative activities, financing methods, and income taxes. In addition, depreciation and amortization may not reflect the current costs required to maintain and replace the operational capacity of our assets.</w:t>
      </w:r>
    </w:p>
    <w:p>
      <w:pPr>
        <w:spacing w:after="0" w:line="135" w:lineRule="exact"/>
        <w:rPr>
          <w:sz w:val="20"/>
          <w:szCs w:val="20"/>
          <w:color w:val="auto"/>
        </w:rPr>
      </w:pPr>
    </w:p>
    <w:p>
      <w:pPr>
        <w:jc w:val="both"/>
        <w:ind w:firstLine="509"/>
        <w:spacing w:after="0" w:line="236" w:lineRule="exact"/>
        <w:rPr>
          <w:sz w:val="20"/>
          <w:szCs w:val="20"/>
          <w:color w:val="auto"/>
        </w:rPr>
      </w:pPr>
      <w:r>
        <w:rPr>
          <w:rFonts w:ascii="Times New Roman" w:cs="Times New Roman" w:eastAsia="Times New Roman" w:hAnsi="Times New Roman"/>
          <w:sz w:val="18"/>
          <w:szCs w:val="18"/>
          <w:color w:val="231F20"/>
        </w:rPr>
        <w:t>Adjusted Gross Profit and Adjusted Gross Profit Margin are non</w:t>
      </w: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GAAP measures and should not be considered as alternatives to, or more meaningful than, Gross Profit, net income, or any other measure calculated in accordance with GAAP. Our calculations of these measures may differ from similarly titled measures used by other companies and, therefore, may not be comparable.</w:t>
      </w:r>
    </w:p>
    <w:p>
      <w:pPr>
        <w:spacing w:after="0" w:line="198" w:lineRule="exact"/>
        <w:rPr>
          <w:sz w:val="20"/>
          <w:szCs w:val="20"/>
          <w:color w:val="auto"/>
        </w:rPr>
      </w:pPr>
    </w:p>
    <w:p>
      <w:pPr>
        <w:jc w:val="both"/>
        <w:ind w:firstLine="509"/>
        <w:spacing w:after="0" w:line="219" w:lineRule="exact"/>
        <w:rPr>
          <w:sz w:val="20"/>
          <w:szCs w:val="20"/>
          <w:color w:val="auto"/>
        </w:rPr>
      </w:pPr>
      <w:r>
        <w:rPr>
          <w:rFonts w:ascii="Times New Roman" w:cs="Times New Roman" w:eastAsia="Times New Roman" w:hAnsi="Times New Roman"/>
          <w:sz w:val="18"/>
          <w:szCs w:val="18"/>
          <w:color w:val="231F20"/>
        </w:rPr>
        <w:t>Adjusted Gross Profit has certain material limitations as compared to Gross Profit, primarily because it excludes certain costs that are necessary to operate our business. These include depreciation and amortization, interest expense, and selling, general and administrative expenses. Because we intend to finance a portion of our operations through borrowings, interest expense is a necessary element of our costs and our ability to generate revenue. Similarly, because we use capital assets, depreciation expense is a necessary element of our costs and our ability to generate revenue, and SG&amp;A activities are necessary to support our operations and required corporate functions. To compensate for these limitations, management uses this non</w:t>
      </w: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GAAP measure only as a supplemental measure to GAAP results to provide a more complete understanding of our performance.</w:t>
      </w:r>
    </w:p>
    <w:p>
      <w:pPr>
        <w:spacing w:after="0" w:line="20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We define Adjusted Gross Profit Margin as Adjusted Gross Profit as a percentage of revenue. The table directly below reconciles Adjusted Gross Profit to Gross Profit, the most directly comparable to GAAP measure and shows Gross Profit calculated as revenues less cost of revenues (excluding depreciation and amortization) and depreciation and amortization expense. While Gross Profit is not presented as a separate line item or subtotal in our audited financial statements for the three months ended March 31, 2026 and 2025, we present Gross Profit in the below table solely to facilitate the reconciliation of Adjusted Gross Profit, a non GAAP measure, to the most directly comparable GAAP measure.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Quarter ended March 31,</w:t>
            </w:r>
          </w:p>
        </w:tc>
        <w:tc>
          <w:tcPr>
            <w:tcW w:w="1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9"/>
        </w:trPr>
        <w:tc>
          <w:tcPr>
            <w:tcW w:w="5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r>
      <w:tr>
        <w:trPr>
          <w:trHeight w:val="210"/>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44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167,508,716</w:t>
            </w:r>
          </w:p>
        </w:tc>
        <w:tc>
          <w:tcPr>
            <w:tcW w:w="3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81,801,265</w:t>
            </w:r>
          </w:p>
        </w:tc>
        <w:tc>
          <w:tcPr>
            <w:tcW w:w="180" w:type="dxa"/>
            <w:vAlign w:val="bottom"/>
            <w:shd w:val="clear" w:color="auto" w:fill="CFF0FC"/>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excluding depreciation and amortization</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(133,319,083)</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(65,277,978)</w:t>
            </w: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(9,269,758)</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(6,598,841)</w:t>
            </w:r>
          </w:p>
        </w:tc>
      </w:tr>
      <w:tr>
        <w:trPr>
          <w:trHeight w:val="20"/>
        </w:trPr>
        <w:tc>
          <w:tcPr>
            <w:tcW w:w="514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2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24,919,875</w:t>
            </w:r>
          </w:p>
        </w:tc>
        <w:tc>
          <w:tcPr>
            <w:tcW w:w="300" w:type="dxa"/>
            <w:vAlign w:val="bottom"/>
          </w:tcPr>
          <w:p>
            <w:pPr>
              <w:spacing w:after="0"/>
              <w:rPr>
                <w:sz w:val="18"/>
                <w:szCs w:val="18"/>
                <w:color w:val="auto"/>
              </w:rPr>
            </w:pPr>
          </w:p>
        </w:tc>
        <w:tc>
          <w:tcPr>
            <w:tcW w:w="10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9,924,446</w:t>
            </w:r>
          </w:p>
        </w:tc>
        <w:tc>
          <w:tcPr>
            <w:tcW w:w="180" w:type="dxa"/>
            <w:vAlign w:val="bottom"/>
          </w:tcPr>
          <w:p>
            <w:pPr>
              <w:spacing w:after="0"/>
              <w:rPr>
                <w:sz w:val="18"/>
                <w:szCs w:val="18"/>
                <w:color w:val="auto"/>
              </w:rPr>
            </w:pPr>
          </w:p>
        </w:tc>
      </w:tr>
      <w:tr>
        <w:trPr>
          <w:trHeight w:val="216"/>
        </w:trPr>
        <w:tc>
          <w:tcPr>
            <w:tcW w:w="5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9,269,758</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6,598,841</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92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34,189,633</w:t>
            </w:r>
          </w:p>
        </w:tc>
        <w:tc>
          <w:tcPr>
            <w:tcW w:w="300" w:type="dxa"/>
            <w:vAlign w:val="bottom"/>
          </w:tcPr>
          <w:p>
            <w:pPr>
              <w:spacing w:after="0"/>
              <w:rPr>
                <w:sz w:val="18"/>
                <w:szCs w:val="18"/>
                <w:color w:val="auto"/>
              </w:rPr>
            </w:pPr>
          </w:p>
        </w:tc>
        <w:tc>
          <w:tcPr>
            <w:tcW w:w="10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16,523,287</w:t>
            </w:r>
          </w:p>
        </w:tc>
        <w:tc>
          <w:tcPr>
            <w:tcW w:w="180" w:type="dxa"/>
            <w:vAlign w:val="bottom"/>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 Margin %</w:t>
            </w:r>
          </w:p>
        </w:tc>
        <w:tc>
          <w:tcPr>
            <w:tcW w:w="9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 Margin %</w:t>
            </w: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-722630</wp:posOffset>
            </wp:positionV>
            <wp:extent cx="1117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-722630</wp:posOffset>
            </wp:positionV>
            <wp:extent cx="1117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-439420</wp:posOffset>
            </wp:positionV>
            <wp:extent cx="11176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-439420</wp:posOffset>
            </wp:positionV>
            <wp:extent cx="11176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0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define EBITDA as net income for the period adjusted for interest expense, net income tax expense, depreciation and amortization expense. Adjusted EBITDA further adjusts EBITDA for certain expenses associated with non-routine transactions, including (i) transaction fees and acquisition-related costs incurred in connection with acquisitions and planned acquisitions, (ii) non-routine costs associated with legal matters in which the Company is a defendant, (iii) certain consulting and recruiting costs related to acquisitions and public company readiness, (iv) non-routine revenue impact from customer claims, (v) non-routine loss on extinguishment and refinancing costs, (vi) stock-based compensation, (vii) non-routine IPO related travel and compensation, and (viii) other non-routine gains and charges that we do not believe reflect our underlying business performance. We define EBITDA Margin as EBITDA as a percentage of revenue, and Adjusted EBITDA Margin as Adjusted EBITDA as a percentage of revenue. The following table provides a reconciliation of net income and net income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margin, the most closely comparable GAAP financial measure, to EBITDA, Adjusted EBITDA, EBITDA Margin and Adjusted EBITDA Margin: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1120" w:type="dxa"/>
            <w:vAlign w:val="bottom"/>
            <w:vMerge w:val="restart"/>
          </w:tcPr>
          <w:p>
            <w:pPr>
              <w:spacing w:after="0"/>
              <w:rPr>
                <w:sz w:val="20"/>
                <w:szCs w:val="20"/>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Quarter ended March 31,</w:t>
            </w:r>
          </w:p>
        </w:tc>
        <w:tc>
          <w:tcPr>
            <w:tcW w:w="1420" w:type="dxa"/>
            <w:vAlign w:val="bottom"/>
            <w:vMerge w:val="restart"/>
          </w:tcPr>
          <w:p>
            <w:pPr>
              <w:jc w:val="right"/>
              <w:ind w:right="8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500" w:type="dxa"/>
            <w:vAlign w:val="bottom"/>
            <w:gridSpan w:val="2"/>
            <w:shd w:val="clear" w:color="auto" w:fill="CFF0FC"/>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11,481,036</w:t>
            </w:r>
          </w:p>
        </w:tc>
        <w:tc>
          <w:tcPr>
            <w:tcW w:w="3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6,641,745</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2,245,876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1,026,276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1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1,053,229</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12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9,269,758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6,598,841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94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EBITDA</w:t>
            </w:r>
          </w:p>
        </w:tc>
        <w:tc>
          <w:tcPr>
            <w:tcW w:w="2500" w:type="dxa"/>
            <w:vAlign w:val="bottom"/>
            <w:gridSpan w:val="2"/>
          </w:tcPr>
          <w:p>
            <w:pPr>
              <w:jc w:val="right"/>
              <w:ind w:right="1190"/>
              <w:spacing w:after="0" w:line="157"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24,049,899</w:t>
            </w:r>
          </w:p>
        </w:tc>
        <w:tc>
          <w:tcPr>
            <w:tcW w:w="300" w:type="dxa"/>
            <w:vAlign w:val="bottom"/>
          </w:tcPr>
          <w:p>
            <w:pPr>
              <w:spacing w:after="0"/>
              <w:rPr>
                <w:sz w:val="13"/>
                <w:szCs w:val="13"/>
                <w:color w:val="auto"/>
              </w:rPr>
            </w:pPr>
          </w:p>
        </w:tc>
        <w:tc>
          <w:tcPr>
            <w:tcW w:w="1000" w:type="dxa"/>
            <w:vAlign w:val="bottom"/>
            <w:gridSpan w:val="2"/>
          </w:tcPr>
          <w:p>
            <w:pPr>
              <w:jc w:val="right"/>
              <w:ind w:right="760"/>
              <w:spacing w:after="0" w:line="157"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14,266,862</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Transaction fees and acquisition-related costs</w:t>
            </w:r>
            <w:r>
              <w:rPr>
                <w:rFonts w:ascii="Times New Roman" w:cs="Times New Roman" w:eastAsia="Times New Roman" w:hAnsi="Times New Roman"/>
                <w:sz w:val="24"/>
                <w:szCs w:val="24"/>
                <w:color w:val="auto"/>
                <w:vertAlign w:val="superscript"/>
              </w:rPr>
              <w:t>(1)</w:t>
            </w: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2,318,645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155,227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Legal matters</w:t>
            </w:r>
            <w:r>
              <w:rPr>
                <w:rFonts w:ascii="Times New Roman" w:cs="Times New Roman" w:eastAsia="Times New Roman" w:hAnsi="Times New Roman"/>
                <w:sz w:val="24"/>
                <w:szCs w:val="24"/>
                <w:color w:val="auto"/>
                <w:vertAlign w:val="superscript"/>
              </w:rPr>
              <w:t>(2)</w:t>
            </w: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Transition and consulting arrangements</w:t>
            </w:r>
            <w:r>
              <w:rPr>
                <w:rFonts w:ascii="Times New Roman" w:cs="Times New Roman" w:eastAsia="Times New Roman" w:hAnsi="Times New Roman"/>
                <w:sz w:val="24"/>
                <w:szCs w:val="24"/>
                <w:color w:val="auto"/>
                <w:vertAlign w:val="superscript"/>
              </w:rPr>
              <w:t>(3)</w:t>
            </w: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117,832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Customer claims</w:t>
            </w:r>
            <w:r>
              <w:rPr>
                <w:rFonts w:ascii="Times New Roman" w:cs="Times New Roman" w:eastAsia="Times New Roman" w:hAnsi="Times New Roman"/>
                <w:sz w:val="24"/>
                <w:szCs w:val="24"/>
                <w:color w:val="auto"/>
                <w:vertAlign w:val="superscript"/>
              </w:rPr>
              <w:t>(4)</w:t>
            </w: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4940" w:type="dxa"/>
            <w:vAlign w:val="bottom"/>
          </w:tcPr>
          <w:p>
            <w:pPr>
              <w:ind w:left="120"/>
              <w:spacing w:after="0" w:line="267" w:lineRule="exact"/>
              <w:rPr>
                <w:sz w:val="20"/>
                <w:szCs w:val="20"/>
                <w:color w:val="auto"/>
              </w:rPr>
            </w:pPr>
            <w:r>
              <w:rPr>
                <w:rFonts w:ascii="Times New Roman" w:cs="Times New Roman" w:eastAsia="Times New Roman" w:hAnsi="Times New Roman"/>
                <w:sz w:val="18"/>
                <w:szCs w:val="18"/>
                <w:color w:val="auto"/>
              </w:rPr>
              <w:t>Loss on extinguishment and refinancing costs</w:t>
            </w:r>
            <w:r>
              <w:rPr>
                <w:rFonts w:ascii="Times New Roman" w:cs="Times New Roman" w:eastAsia="Times New Roman" w:hAnsi="Times New Roman"/>
                <w:sz w:val="24"/>
                <w:szCs w:val="24"/>
                <w:color w:val="auto"/>
                <w:vertAlign w:val="superscript"/>
              </w:rPr>
              <w:t>(5)</w:t>
            </w:r>
          </w:p>
        </w:tc>
        <w:tc>
          <w:tcPr>
            <w:tcW w:w="1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191,852</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4"/>
        </w:trPr>
        <w:tc>
          <w:tcPr>
            <w:tcW w:w="4940" w:type="dxa"/>
            <w:vAlign w:val="bottom"/>
          </w:tcPr>
          <w:p>
            <w:pPr>
              <w:ind w:left="120"/>
              <w:spacing w:after="0" w:line="164" w:lineRule="exact"/>
              <w:rPr>
                <w:sz w:val="20"/>
                <w:szCs w:val="20"/>
                <w:color w:val="auto"/>
              </w:rPr>
            </w:pPr>
            <w:r>
              <w:rPr>
                <w:rFonts w:ascii="Times New Roman" w:cs="Times New Roman" w:eastAsia="Times New Roman" w:hAnsi="Times New Roman"/>
                <w:sz w:val="18"/>
                <w:szCs w:val="18"/>
                <w:color w:val="auto"/>
              </w:rPr>
              <w:t>Non-recurring IPO related travel and compensation</w:t>
            </w: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gridSpan w:val="2"/>
          </w:tcPr>
          <w:p>
            <w:pPr>
              <w:jc w:val="right"/>
              <w:ind w:right="32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0" w:type="dxa"/>
            <w:vAlign w:val="bottom"/>
            <w:gridSpan w:val="2"/>
          </w:tcPr>
          <w:p>
            <w:pPr>
              <w:jc w:val="right"/>
              <w:ind w:right="180"/>
              <w:spacing w:after="0" w:line="16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8"/>
        </w:trPr>
        <w:tc>
          <w:tcPr>
            <w:tcW w:w="4940" w:type="dxa"/>
            <w:vAlign w:val="bottom"/>
          </w:tcPr>
          <w:p>
            <w:pPr>
              <w:ind w:left="120"/>
              <w:spacing w:after="0" w:line="267"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4"/>
                <w:szCs w:val="24"/>
                <w:color w:val="auto"/>
                <w:vertAlign w:val="superscript"/>
              </w:rPr>
              <w:t>(6)</w:t>
            </w:r>
          </w:p>
        </w:tc>
        <w:tc>
          <w:tcPr>
            <w:tcW w:w="1120" w:type="dxa"/>
            <w:vAlign w:val="bottom"/>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121,739</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120" w:type="dxa"/>
            <w:vAlign w:val="bottom"/>
          </w:tcPr>
          <w:p>
            <w:pPr>
              <w:spacing w:after="0"/>
              <w:rPr>
                <w:sz w:val="18"/>
                <w:szCs w:val="18"/>
                <w:color w:val="auto"/>
              </w:rPr>
            </w:pPr>
          </w:p>
        </w:tc>
        <w:tc>
          <w:tcPr>
            <w:tcW w:w="138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26,799,967</w:t>
            </w:r>
          </w:p>
        </w:tc>
        <w:tc>
          <w:tcPr>
            <w:tcW w:w="300" w:type="dxa"/>
            <w:vAlign w:val="bottom"/>
          </w:tcPr>
          <w:p>
            <w:pPr>
              <w:spacing w:after="0"/>
              <w:rPr>
                <w:sz w:val="18"/>
                <w:szCs w:val="18"/>
                <w:color w:val="auto"/>
              </w:rPr>
            </w:pPr>
          </w:p>
        </w:tc>
        <w:tc>
          <w:tcPr>
            <w:tcW w:w="10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14,572,575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line="185" w:lineRule="exact"/>
              <w:rPr>
                <w:sz w:val="20"/>
                <w:szCs w:val="20"/>
                <w:color w:val="auto"/>
              </w:rPr>
            </w:pPr>
            <w:r>
              <w:rPr>
                <w:rFonts w:ascii="Times New Roman" w:cs="Times New Roman" w:eastAsia="Times New Roman" w:hAnsi="Times New Roman"/>
                <w:sz w:val="16"/>
                <w:szCs w:val="16"/>
                <w:color w:val="auto"/>
              </w:rPr>
              <w:t>Net Income Margin</w:t>
            </w:r>
            <w:r>
              <w:rPr>
                <w:rFonts w:ascii="Times New Roman" w:cs="Times New Roman" w:eastAsia="Times New Roman" w:hAnsi="Times New Roman"/>
                <w:sz w:val="21"/>
                <w:szCs w:val="21"/>
                <w:color w:val="auto"/>
                <w:vertAlign w:val="superscript"/>
              </w:rPr>
              <w:t>(7)</w:t>
            </w:r>
          </w:p>
        </w:tc>
        <w:tc>
          <w:tcPr>
            <w:tcW w:w="1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9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6"/>
                <w:szCs w:val="16"/>
                <w:color w:val="auto"/>
              </w:rPr>
              <w:t>6.9%</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0" w:type="dxa"/>
            <w:vAlign w:val="bottom"/>
            <w:gridSpan w:val="2"/>
          </w:tcPr>
          <w:p>
            <w:pPr>
              <w:jc w:val="right"/>
              <w:ind w:right="20"/>
              <w:spacing w:after="0" w:line="145" w:lineRule="exact"/>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6"/>
        </w:trPr>
        <w:tc>
          <w:tcPr>
            <w:tcW w:w="49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EBITDA Margin</w:t>
            </w:r>
            <w:r>
              <w:rPr>
                <w:rFonts w:ascii="Times New Roman" w:cs="Times New Roman" w:eastAsia="Times New Roman" w:hAnsi="Times New Roman"/>
                <w:sz w:val="24"/>
                <w:szCs w:val="24"/>
                <w:color w:val="auto"/>
                <w:vertAlign w:val="superscript"/>
              </w:rPr>
              <w:t>(7)</w:t>
            </w: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68"/>
        </w:trPr>
        <w:tc>
          <w:tcPr>
            <w:tcW w:w="494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4"/>
                <w:szCs w:val="24"/>
                <w:color w:val="auto"/>
                <w:vertAlign w:val="superscript"/>
              </w:rPr>
              <w:t>(7)</w:t>
            </w:r>
          </w:p>
        </w:tc>
        <w:tc>
          <w:tcPr>
            <w:tcW w:w="1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-1816735</wp:posOffset>
            </wp:positionV>
            <wp:extent cx="7132320"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-1542415</wp:posOffset>
            </wp:positionV>
            <wp:extent cx="7132320"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-1268095</wp:posOffset>
            </wp:positionV>
            <wp:extent cx="7132320"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1454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88"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Represents transaction fees and acquisition-related costs incurred in connection with acquisitions and planned acquisitions.</w:t>
      </w:r>
    </w:p>
    <w:p>
      <w:pPr>
        <w:spacing w:after="0" w:line="28" w:lineRule="exact"/>
        <w:rPr>
          <w:rFonts w:ascii="Times New Roman" w:cs="Times New Roman" w:eastAsia="Times New Roman" w:hAnsi="Times New Roman"/>
          <w:sz w:val="11"/>
          <w:szCs w:val="11"/>
          <w:color w:val="auto"/>
        </w:rPr>
      </w:pPr>
    </w:p>
    <w:p>
      <w:pPr>
        <w:ind w:left="520" w:hanging="512"/>
        <w:spacing w:after="0"/>
        <w:tabs>
          <w:tab w:leader="none" w:pos="52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Represents costs associated with legal matters in which the Company is a defendant.</w:t>
      </w:r>
    </w:p>
    <w:p>
      <w:pPr>
        <w:spacing w:after="0" w:line="18" w:lineRule="exact"/>
        <w:rPr>
          <w:rFonts w:ascii="Times New Roman" w:cs="Times New Roman" w:eastAsia="Times New Roman" w:hAnsi="Times New Roman"/>
          <w:sz w:val="11"/>
          <w:szCs w:val="11"/>
          <w:color w:val="auto"/>
        </w:rPr>
      </w:pPr>
    </w:p>
    <w:p>
      <w:pPr>
        <w:ind w:left="520" w:hanging="512"/>
        <w:spacing w:after="0"/>
        <w:tabs>
          <w:tab w:leader="none" w:pos="52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Represents certain consulting and recruiting costs related to acquisitions and public company readiness.</w:t>
      </w:r>
    </w:p>
    <w:p>
      <w:pPr>
        <w:spacing w:after="0" w:line="18" w:lineRule="exact"/>
        <w:rPr>
          <w:rFonts w:ascii="Times New Roman" w:cs="Times New Roman" w:eastAsia="Times New Roman" w:hAnsi="Times New Roman"/>
          <w:sz w:val="11"/>
          <w:szCs w:val="11"/>
          <w:color w:val="auto"/>
        </w:rPr>
      </w:pPr>
    </w:p>
    <w:p>
      <w:pPr>
        <w:ind w:left="520" w:hanging="512"/>
        <w:spacing w:after="0"/>
        <w:tabs>
          <w:tab w:leader="none" w:pos="52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Represents revenue impact from customer claims.</w:t>
      </w:r>
    </w:p>
    <w:p>
      <w:pPr>
        <w:spacing w:after="0" w:line="18" w:lineRule="exact"/>
        <w:rPr>
          <w:rFonts w:ascii="Times New Roman" w:cs="Times New Roman" w:eastAsia="Times New Roman" w:hAnsi="Times New Roman"/>
          <w:sz w:val="11"/>
          <w:szCs w:val="11"/>
          <w:color w:val="auto"/>
        </w:rPr>
      </w:pPr>
    </w:p>
    <w:p>
      <w:pPr>
        <w:ind w:left="520" w:hanging="512"/>
        <w:spacing w:after="0"/>
        <w:tabs>
          <w:tab w:leader="none" w:pos="52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Represents financing and extinguishment-related expenses.</w:t>
      </w:r>
    </w:p>
    <w:p>
      <w:pPr>
        <w:spacing w:after="0" w:line="18" w:lineRule="exact"/>
        <w:rPr>
          <w:rFonts w:ascii="Times New Roman" w:cs="Times New Roman" w:eastAsia="Times New Roman" w:hAnsi="Times New Roman"/>
          <w:sz w:val="11"/>
          <w:szCs w:val="11"/>
          <w:color w:val="auto"/>
        </w:rPr>
      </w:pPr>
    </w:p>
    <w:p>
      <w:pPr>
        <w:ind w:left="520" w:hanging="512"/>
        <w:spacing w:after="0"/>
        <w:tabs>
          <w:tab w:leader="none" w:pos="52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Represents certain other gains and charges that we do not believe reflect our underlying business performance.</w:t>
      </w:r>
    </w:p>
    <w:p>
      <w:pPr>
        <w:spacing w:after="0" w:line="18" w:lineRule="exact"/>
        <w:rPr>
          <w:rFonts w:ascii="Times New Roman" w:cs="Times New Roman" w:eastAsia="Times New Roman" w:hAnsi="Times New Roman"/>
          <w:sz w:val="11"/>
          <w:szCs w:val="11"/>
          <w:color w:val="auto"/>
        </w:rPr>
      </w:pPr>
    </w:p>
    <w:p>
      <w:pPr>
        <w:ind w:left="520" w:hanging="512"/>
        <w:spacing w:after="0"/>
        <w:tabs>
          <w:tab w:leader="none" w:pos="52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Calculated as a percentage of revenue.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preparing our financial statements in conformity with U.S. GAAP, we must make decisions that impact the reported amounts of assets, liabilities, revenue,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business valuations. Actual amounts could differ from those estimated at the time the consolidated financial statements are prepared. Our significant accounting policies are described in Note 2—Significant accounting policies to our accompanying unaudited condensed consolidated financial statements included elsewhere in this Quarterly Report on Form 10-Q.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 (ii) different estimates reasonably could have been used, or changes in the estimate that are reasonably likely to occur from period to period may have a material impact on the presentation of our financial condition, changes in financial condition, or results of operations. There have been no material changes to the Company’s critical accounting estimates since our Annual Report.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Estimate - Property and Equipment Depreciation Method</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During the first quarter of 2026, the Company completed a review of its accounting policy for property and equipment depreciated on an accelerated basis. As a result of this review, the Company changed its accounting method for property and equipment from the accelerated basis of depreciation to the straight-line method of depreciation, effective as of January 1, 2026. The Company believes the change from the accelerated method to the straight-line method of depreciation is preferable under U.S. GAAP as it will result in an estimate of depreciation expense which more accurately reflects the pattern of usage and the expected benefits of such assets. Additionally, the change to the straight-line method of depreciation is consistent with the depreciation method applied by other companies within the Company's industry, and improves the comparability of our</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5" w:name="page46"/>
    <w:bookmarkEnd w:id="4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results to our competitors. Our change in the method of depreciation is considered a change in accounting estimate effected by a change in accounting principle and has been applied prospectively.</w:t>
      </w:r>
    </w:p>
    <w:p>
      <w:pPr>
        <w:spacing w:after="0" w:line="5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effect of the change on the three months ended March 31, 2026 was a decrease in depreciation expense of approximately $581,223 and a corresponding increase in income before income taxes of approximately $581,223, compared to what would have been reported under the accelerated method. The effect on net income and earnings per diluted share was approximately $459,166 and $0.03 for the three months ended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See the applicable section of Note 2 to the unaudited condensed consolidated financial statements included in “Part I. Item 1. Financial Statements” for a discussion of new accounting standards.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interest rate risk relates primarily to fluctuations in variable interest rates on our Credit Facility and our cash balance. Our indebtedness as of March 31, 2026 included $198.6 million of variable rate debt and $0.1 million of fixed rate debt. As of March 31, 2026, we held cash of 44.0 million. In January 2026, we entered into an interest rate swap for $60.0 million of the total facility, with principal payment terms that match the underlying credit facility. At March 31, 2026, a 100-basis point (or 1%) increase or decrease in the interest rate would increase or decrease interest expense by approximately $1.4 million per year. Terms of the swap fix the overall rate assuming a term SOFR rate at 3.8%. For more information on the terms of the October 2025 Credit Facility, see “Part I. Item 2. Management’s Discussion and Analysis of Financial Condition and Results of Operations — Credit Facilities, Debt and Other Capital — October 2025 Credit Facility”.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March 31, 2026. The term “disclosure controls and procedures,” as defined in Rules 13a-15(e) and 15d-15(e) under the Securities Exchange Act of 1934, as amended (the “Exchange Act”), are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Based on this evaluation of our disclosure controls and procedures as of March 31, 2026, our Chief Executive Officer and Chief Financial Officer concluded that our disclosure controls and procedures were not effective due to the material weaknesses in internal controls over financial reporting. The material weaknesses identified in our internal controls over financial reporting are related to information technology general controls, segregation of duties and ineffective controls over the review of estimates to complete for construction contracts.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Notwithstanding the material weaknesses in our internal control over financial reporting, our Chief Executive Officer and Chief Financial Officer have concluded that our Unaudited Condensed Consolidated Financial Statements present fairly, in all material respects, our financial position, results of operations and cash flows in accordance with GAAP.</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identified material weaknesses in the Company’s internal controls over financial reporting. A material weakness is a deficiency, or a combination of deficiencies, in internal controls over financial reporting, such that there is a reasonable possibility that a material misstatement of our annual or interim financial statements will not be prevented or detected on a timely basis. The material weaknesses identified are related to information technology general controls, segregation of duties and ineffective controls over the review of estimates to complete for construction contracts.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Remediation steps are being taken to improve the Company’s internal controls over financial reporting to address the underlying causes of the material weaknesses described above, including designing and implementing increased controls along with increased oversight and review of controls. We have taken the following steps to remediate the identified material weaknesses and improve our internal controls over financial reporting: (i) we have hired key personnel with relevant financial reporting and controls expertise to strengthen our finance and accounting function; and (ii) we are currently in the implementation phase of a new enterprise resource planning ("ERP") system, which is specifically designed to address our information technology general controls and segregation of duties concerns. We continue to evaluate and implement additional remediation initiatives as appropriate. We continue to work on other remediation initiatives.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While we believe that these efforts will improve our internal controls over financial reporting, the implementation of these measures is ongoing and will require validation and testing of the design and operating effectiveness of internal controls over a sustained period of financial reporting cycles. If the steps we take do not remediate the material weaknesses in a timely manner, there could continue to be a reasonable possibility that these control deficiencies or others could result in a material misstatement of our annual or interim financial statements that would not be prevented or detected on a timely basis. If we are unable to successfully remediate our existing or any future material weakness, the accuracy of our financial reporting may be adversely affected, which could cause investors to lose confidence in our financial reporting and our share price, and profitability may decline as a result.</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February 18, 2026, the Company completed the acquisition of ALGC. Consistent with SEC guidance that an assessment of a recently acquired business may be omitted from management’s evaluation of internal control over financial reporting for up to a year from the acquisition and from the annual management report on internal control over financial reporting for the year of acquisition, our management intends to exclude from such evaluation an assessment of the effectiveness of our internal control over financial reporting related to ALGC. ALGC, which we acquired on February 18, 2026, represented 43% of our consolidated total assets as of March 31, 2026 and 10% of our consolidated revenues for the three months ended March 31, 2026.</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are in the process of reviewing the internal control structure of ALGC and, if necessary, will make appropriate changes as it continues to integrate ALGC into our overall internal control over financial reporting process.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Except for the enhancements to controls to address the material weaknesses discussed above, there were no changes to our internal control over financial reporting during the three months ended March 31, 2026, that have materially affected, or are reasonably likely to materially affect, our internal controls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and may in the future be, involved as a party to various legal proceedings, which are incidental to the ordinary course of business. We regularly analyze current information and, as necessary, provide accruals for probable liabilities on the eventual disposition of these matters. We believe there are currently no threatened or pending legal matters that would reasonably be expected to have a material adverse impact on our consolidated results of operations, financial position or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disclosed in Item 1A. Risk Factors in our 2025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There were no offerings of registered securities and therefore no planned use of proceeds from such offerings during the quarterly period covered by the Quarterly Report. As described within “Part II Item 5. Market for Registrant’s Common Equity, Related Stockholder Matters and Issuer Purchases of Equity Securities” in our 2025 Form 10-K, on December 11, 2025, Cardinal Group completed the IPO, in which it issued and sold 11,500,000 shares of Class A Common Stock at the public offering price of $21.00 per share, resulting in net proceeds of $224.6 million after deducting the underwriting discount but before expenses. On December 11, 2025, the underwriters exercised their option to purchase an additional 1,725,000 shares of our Class A Common Stock at the public offering price of $21.00 per share, resulting in total issued shares of 13,225,000. This option exercise closed on December 12, 2025, resulting in additional net proceeds to us of $36.2 million after deducting the underwriting discount. The managing underwriters of the IPO were Stifel, Nicolaus &amp; Company, Incorporated and William Blair &amp; Company, L.L.C.</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offering expenses (other than the underwriting discount) were approximately $5.3 million. The Registration Statement on Form S-1 (File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333-290850) for the IPO was declared effective by the SEC on December 9, 2025.</w:t>
      </w:r>
    </w:p>
    <w:p>
      <w:pPr>
        <w:spacing w:after="0" w:line="9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Through the filing date of this Report, we have used the net proceeds from the IPO, including the net proceeds from the exercise of the underwriters’ option to purchase additional shares of Class A Common Stock, to purchase 14,943,750 LLC units for $258.3 million in aggregate from each Continuing Equity Holder. Cardinal used the net proceeds from the issuance of LLC units to Cardinal Group (i) to redeem LLC units from certain Continuing Equity Holders for $157.5 million in aggregate at a price per unit equal to the initial public offering price per share of Class A Common Stock, (ii) to repay approximately $24.3 million of borrowings outstanding under our October 2025 Credit Facility, (iii) to pay IPO costs of $6.0 million, (iv) to pay $48.6 million cash consideration for our acquisition of ALGC, (v) to pay $12.6 million in costs related to the installation of machinery and equipment, and (vi) Cardinal has used the remaining net proceeds from the IPO to pay $9.3 million related to working capital and general corporate purposes.</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than the use of IPO Proceeds to pay for the installation of machinery equipment, as disclosed above, there has been no material change in the planned use of proceeds from the IPO from those described within the 2025 Form 10-K filed on March 23, 2026 and the final prospectus dated December 9, 2025 and filed on December 10, 2025 with the SEC pursuant to Rule 424(b) under the Securities Act.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See “Part I. Item 2. Management’s Discussion and Analysis of Financial Condition and Results of Operations — Liquidity and Sources of Capital” for a discussion of working capital restrictions and other limitations upon the payment of dividends.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statement concerning mine safety violations or other regulatory matters required by Section 1503(a) of the Dodd-Frank Wall Street Reform and Consumer Protection Act and Item 104 of Regulation S-K is included in Exhibit 95 to this Report.</w:t>
      </w:r>
    </w:p>
    <w:p>
      <w:pPr>
        <w:spacing w:after="0" w:line="266" w:lineRule="exact"/>
        <w:rPr>
          <w:sz w:val="20"/>
          <w:szCs w:val="20"/>
          <w:color w:val="auto"/>
        </w:rPr>
      </w:pPr>
    </w:p>
    <w:p>
      <w:pPr>
        <w:jc w:val="center"/>
        <w:ind w:right="91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center"/>
        <w:ind w:right="91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required to be filed by Item 601 of Regulation S-K are listed in the Index to Exhibits of this report and incorporated by reference herein.</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2"/>
        </w:trPr>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17"/>
          </w:tcPr>
          <w:p>
            <w:pPr>
              <w:ind w:left="50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75"/>
        </w:trPr>
        <w:tc>
          <w:tcPr>
            <w:tcW w:w="86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5"/>
                <w:szCs w:val="15"/>
                <w:color w:val="auto"/>
              </w:rPr>
            </w:pPr>
          </w:p>
        </w:tc>
        <w:tc>
          <w:tcPr>
            <w:tcW w:w="3580" w:type="dxa"/>
            <w:vAlign w:val="bottom"/>
            <w:tcBorders>
              <w:bottom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Membership Interests Purchase and Contribution</w:t>
              </w:r>
            </w:hyperlink>
          </w:p>
        </w:tc>
        <w:tc>
          <w:tcPr>
            <w:tcW w:w="80" w:type="dxa"/>
            <w:vAlign w:val="bottom"/>
            <w:gridSpan w:val="2"/>
          </w:tcPr>
          <w:p>
            <w:pPr>
              <w:spacing w:after="0"/>
              <w:rPr>
                <w:sz w:val="15"/>
                <w:szCs w:val="15"/>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Agreement, dated February 18, 2026, by and</w:t>
              </w:r>
            </w:hyperlink>
          </w:p>
        </w:tc>
        <w:tc>
          <w:tcPr>
            <w:tcW w:w="380" w:type="dxa"/>
            <w:vAlign w:val="bottom"/>
            <w:gridSpan w:val="11"/>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among Diamond Interests Group, LLC, A.L.</w:t>
              </w:r>
            </w:hyperlink>
          </w:p>
        </w:tc>
        <w:tc>
          <w:tcPr>
            <w:tcW w:w="400" w:type="dxa"/>
            <w:vAlign w:val="bottom"/>
            <w:gridSpan w:val="12"/>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6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Grading Contractors, LLC, Anthony L. Wood, Jr.,</w:t>
              </w:r>
            </w:hyperlink>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Benjamin A. Wood, Cardinal Civil Contracting</w:t>
              </w:r>
            </w:hyperlink>
          </w:p>
        </w:tc>
        <w:tc>
          <w:tcPr>
            <w:tcW w:w="200" w:type="dxa"/>
            <w:vAlign w:val="bottom"/>
            <w:gridSpan w:val="8"/>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2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Holdings LLC, and Cardinal Infrastructure Group</w:t>
              </w:r>
            </w:hyperlink>
          </w:p>
        </w:tc>
        <w:tc>
          <w:tcPr>
            <w:tcW w:w="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60" w:type="dxa"/>
            <w:vAlign w:val="bottom"/>
            <w:gridSpan w:val="20"/>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Inc.</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8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7"/>
                <w:szCs w:val="17"/>
                <w:color w:val="auto"/>
              </w:rPr>
            </w:pPr>
          </w:p>
        </w:tc>
        <w:tc>
          <w:tcPr>
            <w:tcW w:w="3660" w:type="dxa"/>
            <w:vAlign w:val="bottom"/>
            <w:tcBorders>
              <w:bottom w:val="single" w:sz="8" w:color="0000FF"/>
            </w:tcBorders>
            <w:gridSpan w:val="20"/>
          </w:tcPr>
          <w:p>
            <w:pPr>
              <w:spacing w:after="0" w:line="182" w:lineRule="exact"/>
              <w:rPr>
                <w:rFonts w:ascii="Times New Roman" w:cs="Times New Roman" w:eastAsia="Times New Roman" w:hAnsi="Times New Roman"/>
                <w:sz w:val="18"/>
                <w:szCs w:val="18"/>
                <w:color w:val="0000FF"/>
                <w:w w:val="99"/>
              </w:rPr>
            </w:pPr>
            <w:hyperlink r:id="rId248">
              <w:r>
                <w:rPr>
                  <w:rFonts w:ascii="Times New Roman" w:cs="Times New Roman" w:eastAsia="Times New Roman" w:hAnsi="Times New Roman"/>
                  <w:sz w:val="18"/>
                  <w:szCs w:val="18"/>
                  <w:color w:val="0000FF"/>
                  <w:w w:val="99"/>
                </w:rPr>
                <w:t>First Amendment to Credit Agreement, dated as of</w:t>
              </w:r>
            </w:hyperlink>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4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February 18, 2026, by and among Cardinal Civil</w:t>
              </w:r>
            </w:hyperlink>
          </w:p>
        </w:tc>
        <w:tc>
          <w:tcPr>
            <w:tcW w:w="120" w:type="dxa"/>
            <w:vAlign w:val="bottom"/>
            <w:gridSpan w:val="4"/>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Contracting, LLC, Cardinal Civil Contracting</w:t>
              </w:r>
            </w:hyperlink>
          </w:p>
        </w:tc>
        <w:tc>
          <w:tcPr>
            <w:tcW w:w="340" w:type="dxa"/>
            <w:vAlign w:val="bottom"/>
            <w:gridSpan w:val="10"/>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Holdings LLC, the subsidiary guarantors party</w:t>
              </w:r>
            </w:hyperlink>
          </w:p>
        </w:tc>
        <w:tc>
          <w:tcPr>
            <w:tcW w:w="260" w:type="dxa"/>
            <w:vAlign w:val="bottom"/>
            <w:gridSpan w:val="9"/>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thereto and Truist Bank, as administrative agent</w:t>
              </w:r>
            </w:hyperlink>
          </w:p>
        </w:tc>
        <w:tc>
          <w:tcPr>
            <w:tcW w:w="160" w:type="dxa"/>
            <w:vAlign w:val="bottom"/>
            <w:gridSpan w:val="6"/>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48">
              <w:r>
                <w:rPr>
                  <w:rFonts w:ascii="Times New Roman" w:cs="Times New Roman" w:eastAsia="Times New Roman" w:hAnsi="Times New Roman"/>
                  <w:sz w:val="18"/>
                  <w:szCs w:val="18"/>
                  <w:color w:val="0000FF"/>
                  <w:w w:val="99"/>
                </w:rPr>
                <w:t>and lender and the other lenders party thereto</w:t>
              </w:r>
            </w:hyperlink>
          </w:p>
        </w:tc>
        <w:tc>
          <w:tcPr>
            <w:tcW w:w="400" w:type="dxa"/>
            <w:vAlign w:val="bottom"/>
            <w:gridSpan w:val="12"/>
          </w:tcPr>
          <w:p>
            <w:pPr>
              <w:spacing w:after="0"/>
              <w:rPr>
                <w:sz w:val="17"/>
                <w:szCs w:val="17"/>
                <w:color w:val="auto"/>
              </w:rPr>
            </w:pPr>
          </w:p>
        </w:tc>
      </w:tr>
      <w:tr>
        <w:trPr>
          <w:trHeight w:val="196"/>
        </w:trPr>
        <w:tc>
          <w:tcPr>
            <w:tcW w:w="8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18.1*</w:t>
            </w:r>
          </w:p>
        </w:tc>
        <w:tc>
          <w:tcPr>
            <w:tcW w:w="180" w:type="dxa"/>
            <w:vAlign w:val="bottom"/>
          </w:tcPr>
          <w:p>
            <w:pPr>
              <w:spacing w:after="0"/>
              <w:rPr>
                <w:sz w:val="17"/>
                <w:szCs w:val="17"/>
                <w:color w:val="auto"/>
              </w:rPr>
            </w:pPr>
          </w:p>
        </w:tc>
        <w:tc>
          <w:tcPr>
            <w:tcW w:w="3080" w:type="dxa"/>
            <w:vAlign w:val="bottom"/>
            <w:tcBorders>
              <w:bottom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Letter of preferability regarding change in</w:t>
            </w:r>
          </w:p>
        </w:tc>
        <w:tc>
          <w:tcPr>
            <w:tcW w:w="580" w:type="dxa"/>
            <w:vAlign w:val="bottom"/>
            <w:gridSpan w:val="15"/>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8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accounting principle from Grant Thornton LLP,</w:t>
            </w:r>
          </w:p>
        </w:tc>
        <w:tc>
          <w:tcPr>
            <w:tcW w:w="180" w:type="dxa"/>
            <w:vAlign w:val="bottom"/>
            <w:gridSpan w:val="7"/>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Independent Registered Public Accounting Firm.</w:t>
            </w:r>
          </w:p>
        </w:tc>
      </w:tr>
      <w:tr>
        <w:trPr>
          <w:trHeight w:val="20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18"/>
                <w:szCs w:val="18"/>
                <w:color w:val="auto"/>
              </w:rPr>
            </w:pPr>
          </w:p>
        </w:tc>
        <w:tc>
          <w:tcPr>
            <w:tcW w:w="31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w:t>
            </w:r>
          </w:p>
        </w:tc>
        <w:tc>
          <w:tcPr>
            <w:tcW w:w="360" w:type="dxa"/>
            <w:vAlign w:val="bottom"/>
            <w:tcBorders>
              <w:top w:val="single" w:sz="8" w:color="0000FF"/>
            </w:tcBorders>
            <w:gridSpan w:val="8"/>
          </w:tcPr>
          <w:p>
            <w:pPr>
              <w:spacing w:after="0"/>
              <w:rPr>
                <w:sz w:val="18"/>
                <w:szCs w:val="18"/>
                <w:color w:val="auto"/>
              </w:rPr>
            </w:pPr>
          </w:p>
        </w:tc>
        <w:tc>
          <w:tcPr>
            <w:tcW w:w="140" w:type="dxa"/>
            <w:vAlign w:val="bottom"/>
            <w:gridSpan w:val="5"/>
          </w:tcPr>
          <w:p>
            <w:pPr>
              <w:spacing w:after="0"/>
              <w:rPr>
                <w:sz w:val="18"/>
                <w:szCs w:val="18"/>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6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 under</w:t>
            </w:r>
          </w:p>
        </w:tc>
        <w:tc>
          <w:tcPr>
            <w:tcW w:w="100" w:type="dxa"/>
            <w:vAlign w:val="bottom"/>
            <w:gridSpan w:val="3"/>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8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the Securities Exchange Act of 1934, as Adopted</w:t>
            </w:r>
          </w:p>
        </w:tc>
        <w:tc>
          <w:tcPr>
            <w:tcW w:w="80" w:type="dxa"/>
            <w:vAlign w:val="bottom"/>
            <w:gridSpan w:val="2"/>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w:t>
            </w:r>
          </w:p>
        </w:tc>
        <w:tc>
          <w:tcPr>
            <w:tcW w:w="260" w:type="dxa"/>
            <w:vAlign w:val="bottom"/>
            <w:gridSpan w:val="9"/>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2740" w:type="dxa"/>
            <w:vAlign w:val="bottom"/>
            <w:gridSpan w:val="17"/>
          </w:tcPr>
          <w:p>
            <w:pPr>
              <w:spacing w:after="0"/>
              <w:rPr>
                <w:sz w:val="17"/>
                <w:szCs w:val="17"/>
                <w:color w:val="auto"/>
              </w:rPr>
            </w:pPr>
          </w:p>
        </w:tc>
      </w:tr>
      <w:tr>
        <w:trPr>
          <w:trHeight w:val="23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0"/>
                <w:szCs w:val="20"/>
                <w:color w:val="auto"/>
              </w:rPr>
            </w:pPr>
          </w:p>
        </w:tc>
        <w:tc>
          <w:tcPr>
            <w:tcW w:w="31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w:t>
            </w:r>
          </w:p>
        </w:tc>
        <w:tc>
          <w:tcPr>
            <w:tcW w:w="540" w:type="dxa"/>
            <w:vAlign w:val="bottom"/>
            <w:gridSpan w:val="14"/>
          </w:tcPr>
          <w:p>
            <w:pPr>
              <w:spacing w:after="0"/>
              <w:rPr>
                <w:sz w:val="20"/>
                <w:szCs w:val="20"/>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6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 under</w:t>
            </w:r>
          </w:p>
        </w:tc>
        <w:tc>
          <w:tcPr>
            <w:tcW w:w="100" w:type="dxa"/>
            <w:vAlign w:val="bottom"/>
            <w:gridSpan w:val="3"/>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8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the Securities Exchange Act of 1934, as Adopted</w:t>
            </w:r>
          </w:p>
        </w:tc>
        <w:tc>
          <w:tcPr>
            <w:tcW w:w="80" w:type="dxa"/>
            <w:vAlign w:val="bottom"/>
            <w:gridSpan w:val="2"/>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w:t>
            </w:r>
          </w:p>
        </w:tc>
        <w:tc>
          <w:tcPr>
            <w:tcW w:w="260" w:type="dxa"/>
            <w:vAlign w:val="bottom"/>
            <w:gridSpan w:val="9"/>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2740" w:type="dxa"/>
            <w:vAlign w:val="bottom"/>
            <w:gridSpan w:val="17"/>
          </w:tcPr>
          <w:p>
            <w:pPr>
              <w:spacing w:after="0"/>
              <w:rPr>
                <w:sz w:val="17"/>
                <w:szCs w:val="17"/>
                <w:color w:val="auto"/>
              </w:rPr>
            </w:pPr>
          </w:p>
        </w:tc>
      </w:tr>
      <w:tr>
        <w:trPr>
          <w:trHeight w:val="23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0"/>
                <w:szCs w:val="20"/>
                <w:color w:val="auto"/>
              </w:rPr>
            </w:pPr>
          </w:p>
        </w:tc>
        <w:tc>
          <w:tcPr>
            <w:tcW w:w="31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w:t>
            </w:r>
          </w:p>
        </w:tc>
        <w:tc>
          <w:tcPr>
            <w:tcW w:w="500" w:type="dxa"/>
            <w:vAlign w:val="bottom"/>
            <w:gridSpan w:val="13"/>
          </w:tcPr>
          <w:p>
            <w:pPr>
              <w:spacing w:after="0"/>
              <w:rPr>
                <w:sz w:val="20"/>
                <w:szCs w:val="20"/>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Pursuant to 18 U.S.C. Section</w:t>
            </w: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60" w:type="dxa"/>
            <w:vAlign w:val="bottom"/>
            <w:gridSpan w:val="2"/>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Incorporation By Reference</w:t>
            </w:r>
          </w:p>
        </w:tc>
        <w:tc>
          <w:tcPr>
            <w:tcW w:w="1480" w:type="dxa"/>
            <w:vAlign w:val="bottom"/>
          </w:tcPr>
          <w:p>
            <w:pPr>
              <w:spacing w:after="0"/>
              <w:rPr>
                <w:sz w:val="18"/>
                <w:szCs w:val="18"/>
                <w:color w:val="auto"/>
              </w:rPr>
            </w:pPr>
          </w:p>
        </w:tc>
      </w:tr>
      <w:tr>
        <w:trPr>
          <w:trHeight w:val="392"/>
        </w:trPr>
        <w:tc>
          <w:tcPr>
            <w:tcW w:w="20" w:type="dxa"/>
            <w:vAlign w:val="bottom"/>
          </w:tcPr>
          <w:p>
            <w:pPr>
              <w:spacing w:after="0"/>
              <w:rPr>
                <w:sz w:val="24"/>
                <w:szCs w:val="24"/>
                <w:color w:val="auto"/>
              </w:rPr>
            </w:pPr>
          </w:p>
        </w:tc>
        <w:tc>
          <w:tcPr>
            <w:tcW w:w="7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Form</w:t>
            </w:r>
          </w:p>
        </w:tc>
        <w:tc>
          <w:tcPr>
            <w:tcW w:w="9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File Number</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14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Filing Date</w:t>
            </w: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001-43004</w:t>
            </w:r>
          </w:p>
        </w:tc>
        <w:tc>
          <w:tcPr>
            <w:tcW w:w="1320" w:type="dxa"/>
            <w:vAlign w:val="bottom"/>
          </w:tcPr>
          <w:p>
            <w:pPr>
              <w:spacing w:after="0"/>
              <w:rPr>
                <w:sz w:val="20"/>
                <w:szCs w:val="20"/>
                <w:color w:val="auto"/>
              </w:rPr>
            </w:pPr>
          </w:p>
        </w:tc>
        <w:tc>
          <w:tcPr>
            <w:tcW w:w="1740" w:type="dxa"/>
            <w:vAlign w:val="bottom"/>
          </w:tcPr>
          <w:p>
            <w:pPr>
              <w:jc w:val="right"/>
              <w:ind w:right="1015"/>
              <w:spacing w:after="0"/>
              <w:rPr>
                <w:sz w:val="20"/>
                <w:szCs w:val="20"/>
                <w:color w:val="auto"/>
              </w:rPr>
            </w:pPr>
            <w:r>
              <w:rPr>
                <w:rFonts w:ascii="Times New Roman" w:cs="Times New Roman" w:eastAsia="Times New Roman" w:hAnsi="Times New Roman"/>
                <w:sz w:val="18"/>
                <w:szCs w:val="18"/>
                <w:color w:val="auto"/>
              </w:rPr>
              <w:t>2.1</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February 19,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860" w:val="left"/>
          <w:tab w:leader="none" w:pos="3400" w:val="left"/>
          <w:tab w:leader="none" w:pos="48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001-43004</w:t>
      </w:r>
      <w:r>
        <w:rPr>
          <w:sz w:val="20"/>
          <w:szCs w:val="20"/>
          <w:color w:val="auto"/>
        </w:rPr>
        <w:tab/>
      </w: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color w:val="auto"/>
        </w:rPr>
        <w:t>February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1106170</wp:posOffset>
            </wp:positionV>
            <wp:extent cx="7132320" cy="7112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7132320" cy="71120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2529205</wp:posOffset>
            </wp:positionV>
            <wp:extent cx="7132320" cy="2825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-127635</wp:posOffset>
            </wp:positionV>
            <wp:extent cx="7132320" cy="8229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700" w:space="320"/>
            <w:col w:w="6220"/>
          </w:cols>
          <w:pgMar w:left="320" w:top="1413" w:right="33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1040" w:type="dxa"/>
            <w:vAlign w:val="bottom"/>
            <w:shd w:val="clear" w:color="auto" w:fill="CFF0FC"/>
          </w:tcPr>
          <w:p>
            <w:pPr>
              <w:spacing w:after="0"/>
              <w:rPr>
                <w:sz w:val="17"/>
                <w:szCs w:val="17"/>
                <w:color w:val="auto"/>
              </w:rPr>
            </w:pPr>
          </w:p>
        </w:tc>
        <w:tc>
          <w:tcPr>
            <w:tcW w:w="102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1350, as Adopted Pursuant to Section 906 of the</w:t>
            </w:r>
          </w:p>
        </w:tc>
      </w:tr>
      <w:tr>
        <w:trPr>
          <w:trHeight w:val="248"/>
        </w:trPr>
        <w:tc>
          <w:tcPr>
            <w:tcW w:w="1040" w:type="dxa"/>
            <w:vAlign w:val="bottom"/>
            <w:shd w:val="clear" w:color="auto" w:fill="CFF0FC"/>
          </w:tcPr>
          <w:p>
            <w:pPr>
              <w:spacing w:after="0"/>
              <w:rPr>
                <w:sz w:val="21"/>
                <w:szCs w:val="21"/>
                <w:color w:val="auto"/>
              </w:rPr>
            </w:pPr>
          </w:p>
        </w:tc>
        <w:tc>
          <w:tcPr>
            <w:tcW w:w="102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189"/>
        </w:trPr>
        <w:tc>
          <w:tcPr>
            <w:tcW w:w="1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3120" w:type="dxa"/>
            <w:vAlign w:val="bottom"/>
            <w:tcBorders>
              <w:bottom w:val="single" w:sz="8" w:color="0000FF"/>
            </w:tcBorders>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Financial Officer</w:t>
            </w:r>
          </w:p>
        </w:tc>
        <w:tc>
          <w:tcPr>
            <w:tcW w:w="7080" w:type="dxa"/>
            <w:vAlign w:val="bottom"/>
            <w:gridSpan w:val="3"/>
          </w:tcPr>
          <w:p>
            <w:pPr>
              <w:spacing w:after="0"/>
              <w:rPr>
                <w:sz w:val="16"/>
                <w:szCs w:val="16"/>
                <w:color w:val="auto"/>
              </w:rPr>
            </w:pPr>
          </w:p>
        </w:tc>
      </w:tr>
      <w:tr>
        <w:trPr>
          <w:trHeight w:val="196"/>
        </w:trPr>
        <w:tc>
          <w:tcPr>
            <w:tcW w:w="1040" w:type="dxa"/>
            <w:vAlign w:val="bottom"/>
          </w:tcPr>
          <w:p>
            <w:pPr>
              <w:spacing w:after="0"/>
              <w:rPr>
                <w:sz w:val="17"/>
                <w:szCs w:val="17"/>
                <w:color w:val="auto"/>
              </w:rPr>
            </w:pPr>
          </w:p>
        </w:tc>
        <w:tc>
          <w:tcPr>
            <w:tcW w:w="35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Pursuant to 18 U.S.C. Section 1350, as Adopted</w:t>
            </w:r>
          </w:p>
        </w:tc>
        <w:tc>
          <w:tcPr>
            <w:tcW w:w="67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40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the Sarbanes-Oxley</w:t>
            </w:r>
          </w:p>
        </w:tc>
        <w:tc>
          <w:tcPr>
            <w:tcW w:w="680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48"/>
        </w:trPr>
        <w:tc>
          <w:tcPr>
            <w:tcW w:w="1040" w:type="dxa"/>
            <w:vAlign w:val="bottom"/>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1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700" w:type="dxa"/>
            <w:vAlign w:val="bottom"/>
          </w:tcPr>
          <w:p>
            <w:pPr>
              <w:spacing w:after="0"/>
              <w:rPr>
                <w:sz w:val="4"/>
                <w:szCs w:val="4"/>
                <w:color w:val="auto"/>
              </w:rPr>
            </w:pPr>
          </w:p>
        </w:tc>
      </w:tr>
      <w:tr>
        <w:trPr>
          <w:trHeight w:val="189"/>
        </w:trPr>
        <w:tc>
          <w:tcPr>
            <w:tcW w:w="10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95*</w:t>
            </w:r>
          </w:p>
        </w:tc>
        <w:tc>
          <w:tcPr>
            <w:tcW w:w="10200" w:type="dxa"/>
            <w:vAlign w:val="bottom"/>
            <w:gridSpan w:val="6"/>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 Exhibit</w:t>
            </w:r>
          </w:p>
        </w:tc>
      </w:tr>
      <w:tr>
        <w:trPr>
          <w:trHeight w:val="48"/>
        </w:trPr>
        <w:tc>
          <w:tcPr>
            <w:tcW w:w="1040" w:type="dxa"/>
            <w:vAlign w:val="bottom"/>
            <w:tcBorders>
              <w:top w:val="single" w:sz="8" w:color="CFF0FC"/>
            </w:tcBorders>
            <w:shd w:val="clear" w:color="auto" w:fill="CFF0FC"/>
          </w:tcPr>
          <w:p>
            <w:pPr>
              <w:spacing w:after="0"/>
              <w:rPr>
                <w:sz w:val="4"/>
                <w:szCs w:val="4"/>
                <w:color w:val="auto"/>
              </w:rPr>
            </w:pPr>
          </w:p>
        </w:tc>
        <w:tc>
          <w:tcPr>
            <w:tcW w:w="900" w:type="dxa"/>
            <w:vAlign w:val="bottom"/>
            <w:tcBorders>
              <w:top w:val="single" w:sz="8" w:color="0000FF"/>
            </w:tcBorders>
            <w:shd w:val="clear" w:color="auto" w:fill="CFF0FC"/>
          </w:tcPr>
          <w:p>
            <w:pPr>
              <w:spacing w:after="0"/>
              <w:rPr>
                <w:sz w:val="4"/>
                <w:szCs w:val="4"/>
                <w:color w:val="auto"/>
              </w:rPr>
            </w:pPr>
          </w:p>
        </w:tc>
        <w:tc>
          <w:tcPr>
            <w:tcW w:w="1360" w:type="dxa"/>
            <w:vAlign w:val="bottom"/>
            <w:tcBorders>
              <w:top w:val="single" w:sz="8" w:color="0000FF"/>
            </w:tcBorders>
            <w:shd w:val="clear" w:color="auto" w:fill="CFF0FC"/>
          </w:tcPr>
          <w:p>
            <w:pPr>
              <w:spacing w:after="0"/>
              <w:rPr>
                <w:sz w:val="4"/>
                <w:szCs w:val="4"/>
                <w:color w:val="auto"/>
              </w:rPr>
            </w:pPr>
          </w:p>
        </w:tc>
        <w:tc>
          <w:tcPr>
            <w:tcW w:w="860" w:type="dxa"/>
            <w:vAlign w:val="bottom"/>
            <w:tcBorders>
              <w:top w:val="single" w:sz="8" w:color="CFF0FC"/>
            </w:tcBorders>
            <w:shd w:val="clear" w:color="auto" w:fill="CFF0FC"/>
          </w:tcPr>
          <w:p>
            <w:pPr>
              <w:spacing w:after="0"/>
              <w:rPr>
                <w:sz w:val="4"/>
                <w:szCs w:val="4"/>
                <w:color w:val="auto"/>
              </w:rPr>
            </w:pPr>
          </w:p>
        </w:tc>
        <w:tc>
          <w:tcPr>
            <w:tcW w:w="28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6700" w:type="dxa"/>
            <w:vAlign w:val="bottom"/>
            <w:tcBorders>
              <w:top w:val="single" w:sz="8" w:color="CFF0FC"/>
            </w:tcBorders>
            <w:shd w:val="clear" w:color="auto" w:fill="CFF0FC"/>
          </w:tcPr>
          <w:p>
            <w:pPr>
              <w:spacing w:after="0"/>
              <w:rPr>
                <w:sz w:val="4"/>
                <w:szCs w:val="4"/>
                <w:color w:val="auto"/>
              </w:rPr>
            </w:pPr>
          </w:p>
        </w:tc>
      </w:tr>
      <w:tr>
        <w:trPr>
          <w:trHeight w:val="21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r>
      <w:tr>
        <w:trPr>
          <w:trHeight w:val="216"/>
        </w:trPr>
        <w:tc>
          <w:tcPr>
            <w:tcW w:w="1040" w:type="dxa"/>
            <w:vAlign w:val="bottom"/>
          </w:tcPr>
          <w:p>
            <w:pPr>
              <w:spacing w:after="0"/>
              <w:rPr>
                <w:sz w:val="18"/>
                <w:szCs w:val="18"/>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w:t>
            </w:r>
          </w:p>
        </w:tc>
      </w:tr>
      <w:tr>
        <w:trPr>
          <w:trHeight w:val="216"/>
        </w:trPr>
        <w:tc>
          <w:tcPr>
            <w:tcW w:w="1040" w:type="dxa"/>
            <w:vAlign w:val="bottom"/>
          </w:tcPr>
          <w:p>
            <w:pPr>
              <w:spacing w:after="0"/>
              <w:rPr>
                <w:sz w:val="18"/>
                <w:szCs w:val="18"/>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File because XBRL tags are embedded within the</w:t>
            </w:r>
          </w:p>
        </w:tc>
      </w:tr>
      <w:tr>
        <w:trPr>
          <w:trHeight w:val="234"/>
        </w:trPr>
        <w:tc>
          <w:tcPr>
            <w:tcW w:w="1040" w:type="dxa"/>
            <w:vAlign w:val="bottom"/>
          </w:tcPr>
          <w:p>
            <w:pPr>
              <w:spacing w:after="0"/>
              <w:rPr>
                <w:sz w:val="20"/>
                <w:szCs w:val="20"/>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document.</w:t>
            </w:r>
          </w:p>
        </w:tc>
      </w:tr>
      <w:tr>
        <w:trPr>
          <w:trHeight w:val="27"/>
        </w:trPr>
        <w:tc>
          <w:tcPr>
            <w:tcW w:w="1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700" w:type="dxa"/>
            <w:vAlign w:val="bottom"/>
          </w:tcPr>
          <w:p>
            <w:pPr>
              <w:spacing w:after="0"/>
              <w:rPr>
                <w:sz w:val="2"/>
                <w:szCs w:val="2"/>
                <w:color w:val="auto"/>
              </w:rPr>
            </w:pPr>
          </w:p>
        </w:tc>
      </w:tr>
      <w:tr>
        <w:trPr>
          <w:trHeight w:val="211"/>
        </w:trPr>
        <w:tc>
          <w:tcPr>
            <w:tcW w:w="1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w:t>
            </w:r>
          </w:p>
        </w:tc>
      </w:tr>
      <w:tr>
        <w:trPr>
          <w:trHeight w:val="234"/>
        </w:trPr>
        <w:tc>
          <w:tcPr>
            <w:tcW w:w="1040" w:type="dxa"/>
            <w:vAlign w:val="bottom"/>
            <w:shd w:val="clear" w:color="auto" w:fill="CFF0FC"/>
          </w:tcPr>
          <w:p>
            <w:pPr>
              <w:spacing w:after="0"/>
              <w:rPr>
                <w:sz w:val="20"/>
                <w:szCs w:val="20"/>
                <w:color w:val="auto"/>
              </w:rPr>
            </w:pPr>
          </w:p>
        </w:tc>
        <w:tc>
          <w:tcPr>
            <w:tcW w:w="102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Embedded Linkbase Documents</w:t>
            </w:r>
          </w:p>
        </w:tc>
      </w:tr>
      <w:tr>
        <w:trPr>
          <w:trHeight w:val="27"/>
        </w:trPr>
        <w:tc>
          <w:tcPr>
            <w:tcW w:w="104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136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6700" w:type="dxa"/>
            <w:vAlign w:val="bottom"/>
            <w:shd w:val="clear" w:color="auto" w:fill="CFF0FC"/>
          </w:tcPr>
          <w:p>
            <w:pPr>
              <w:spacing w:after="0"/>
              <w:rPr>
                <w:sz w:val="2"/>
                <w:szCs w:val="2"/>
                <w:color w:val="auto"/>
              </w:rPr>
            </w:pPr>
          </w:p>
        </w:tc>
      </w:tr>
    </w:tbl>
    <w:p>
      <w:pPr>
        <w:ind w:left="1040" w:right="7000" w:hanging="1032"/>
        <w:spacing w:after="0" w:line="306" w:lineRule="auto"/>
        <w:tabs>
          <w:tab w:leader="none" w:pos="104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144"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95123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7" w:lineRule="exact"/>
        <w:rPr>
          <w:sz w:val="20"/>
          <w:szCs w:val="20"/>
          <w:color w:val="auto"/>
        </w:rPr>
      </w:pPr>
    </w:p>
    <w:p>
      <w:pPr>
        <w:ind w:left="500" w:hanging="492"/>
        <w:spacing w:after="0" w:line="260" w:lineRule="auto"/>
        <w:tabs>
          <w:tab w:leader="none" w:pos="49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601(b)(5) of Regulation S-K. The Registrant undertakes to furnish supplemental copies of any of the omitted schedules upon request by the SEC.</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Cardinal Infrastructure Group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25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Jeremy Spivey</w:t>
            </w:r>
          </w:p>
        </w:tc>
      </w:tr>
      <w:tr>
        <w:trPr>
          <w:trHeight w:val="187"/>
        </w:trPr>
        <w:tc>
          <w:tcPr>
            <w:tcW w:w="35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Jeremy Spivey</w:t>
            </w:r>
          </w:p>
        </w:tc>
      </w:tr>
      <w:tr>
        <w:trPr>
          <w:trHeight w:val="238"/>
        </w:trPr>
        <w:tc>
          <w:tcPr>
            <w:tcW w:w="3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r>
      <w:tr>
        <w:trPr>
          <w:trHeight w:val="64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25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Mike Rowe</w:t>
            </w:r>
          </w:p>
        </w:tc>
      </w:tr>
      <w:tr>
        <w:trPr>
          <w:trHeight w:val="187"/>
        </w:trPr>
        <w:tc>
          <w:tcPr>
            <w:tcW w:w="35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Mike Rowe</w:t>
            </w:r>
          </w:p>
        </w:tc>
      </w:tr>
      <w:tr>
        <w:trPr>
          <w:trHeight w:val="238"/>
        </w:trPr>
        <w:tc>
          <w:tcPr>
            <w:tcW w:w="3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864"/>
        </w:trPr>
        <w:tc>
          <w:tcPr>
            <w:tcW w:w="3500" w:type="dxa"/>
            <w:vAlign w:val="bottom"/>
          </w:tcPr>
          <w:p>
            <w:pPr>
              <w:spacing w:after="0"/>
              <w:rPr>
                <w:sz w:val="24"/>
                <w:szCs w:val="24"/>
                <w:color w:val="auto"/>
              </w:rPr>
            </w:pPr>
          </w:p>
        </w:tc>
        <w:tc>
          <w:tcPr>
            <w:tcW w:w="2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49</w:t>
            </w:r>
          </w:p>
        </w:tc>
        <w:tc>
          <w:tcPr>
            <w:tcW w:w="5160" w:type="dxa"/>
            <w:vAlign w:val="bottom"/>
          </w:tcPr>
          <w:p>
            <w:pPr>
              <w:spacing w:after="0"/>
              <w:rPr>
                <w:sz w:val="24"/>
                <w:szCs w:val="24"/>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1" w:name="page52"/>
    <w:bookmarkEnd w:id="51"/>
    <w:p>
      <w:pPr>
        <w:ind w:left="7620"/>
        <w:spacing w:after="0"/>
        <w:rPr>
          <w:sz w:val="20"/>
          <w:szCs w:val="20"/>
          <w:color w:val="auto"/>
        </w:rPr>
      </w:pPr>
      <w:r>
        <w:rPr>
          <w:rFonts w:ascii="Times New Roman" w:cs="Times New Roman" w:eastAsia="Times New Roman" w:hAnsi="Times New Roman"/>
          <w:sz w:val="21"/>
          <w:szCs w:val="21"/>
          <w:b w:val="1"/>
          <w:bCs w:val="1"/>
          <w:color w:val="auto"/>
        </w:rPr>
        <w:t>Exhibit 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140970</wp:posOffset>
            </wp:positionV>
            <wp:extent cx="2348865" cy="4368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2348865" cy="436880"/>
                    </a:xfrm>
                    <a:prstGeom prst="rect">
                      <a:avLst/>
                    </a:prstGeom>
                    <a:noFill/>
                  </pic:spPr>
                </pic:pic>
              </a:graphicData>
            </a:graphic>
          </wp:anchor>
        </w:drawing>
      </w:r>
    </w:p>
    <w:p>
      <w:pPr>
        <w:sectPr>
          <w:pgSz w:w="11900" w:h="16838" w:orient="portrait"/>
          <w:cols w:equalWidth="0" w:num="1">
            <w:col w:w="9160"/>
          </w:cols>
          <w:pgMar w:left="1440" w:top="365"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color w:val="auto"/>
        </w:rPr>
        <w:t>May 13, 2026</w:t>
      </w:r>
    </w:p>
    <w:p>
      <w:pPr>
        <w:spacing w:after="0" w:line="22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color w:val="auto"/>
        </w:rPr>
        <w:t>Board of Directors</w:t>
      </w:r>
    </w:p>
    <w:p>
      <w:pPr>
        <w:spacing w:after="0" w:line="2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9"/>
          <w:szCs w:val="19"/>
          <w:color w:val="auto"/>
        </w:rPr>
        <w:t>Cardinal Infrastructure Group Inc.</w:t>
      </w:r>
    </w:p>
    <w:p>
      <w:pPr>
        <w:spacing w:after="0" w:line="1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color w:val="auto"/>
        </w:rPr>
        <w:t>100 E. Six Forks Road, #300</w:t>
      </w:r>
    </w:p>
    <w:p>
      <w:pPr>
        <w:ind w:left="1400"/>
        <w:spacing w:after="0"/>
        <w:rPr>
          <w:sz w:val="20"/>
          <w:szCs w:val="20"/>
          <w:color w:val="auto"/>
        </w:rPr>
      </w:pPr>
      <w:r>
        <w:rPr>
          <w:rFonts w:ascii="Times New Roman" w:cs="Times New Roman" w:eastAsia="Times New Roman" w:hAnsi="Times New Roman"/>
          <w:sz w:val="20"/>
          <w:szCs w:val="20"/>
          <w:color w:val="auto"/>
        </w:rPr>
        <w:t>Raleigh, North Carolina 27609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color w:val="auto"/>
        </w:rPr>
        <w:t>Dear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Grant Thornton LLP</w:t>
      </w:r>
    </w:p>
    <w:p>
      <w:pPr>
        <w:spacing w:after="0" w:line="234" w:lineRule="auto"/>
        <w:rPr>
          <w:sz w:val="20"/>
          <w:szCs w:val="20"/>
          <w:color w:val="auto"/>
        </w:rPr>
      </w:pPr>
      <w:r>
        <w:rPr>
          <w:rFonts w:ascii="Arial" w:cs="Arial" w:eastAsia="Arial" w:hAnsi="Arial"/>
          <w:sz w:val="12"/>
          <w:szCs w:val="12"/>
          <w:color w:val="auto"/>
        </w:rPr>
        <w:t>6120 South Yale Avenue, Suite 1400</w:t>
      </w:r>
    </w:p>
    <w:p>
      <w:pPr>
        <w:spacing w:after="0" w:line="224" w:lineRule="auto"/>
        <w:rPr>
          <w:sz w:val="20"/>
          <w:szCs w:val="20"/>
          <w:color w:val="auto"/>
        </w:rPr>
      </w:pPr>
      <w:r>
        <w:rPr>
          <w:rFonts w:ascii="Arial" w:cs="Arial" w:eastAsia="Arial" w:hAnsi="Arial"/>
          <w:sz w:val="13"/>
          <w:szCs w:val="13"/>
          <w:color w:val="auto"/>
        </w:rPr>
        <w:t>Tulsa, Oklahoma 74136</w:t>
      </w:r>
    </w:p>
    <w:p>
      <w:pPr>
        <w:spacing w:after="0"/>
        <w:rPr>
          <w:sz w:val="20"/>
          <w:szCs w:val="20"/>
          <w:color w:val="auto"/>
        </w:rPr>
      </w:pPr>
      <w:r>
        <w:rPr>
          <w:rFonts w:ascii="Times New Roman" w:cs="Times New Roman" w:eastAsia="Times New Roman" w:hAnsi="Times New Roman"/>
          <w:sz w:val="11"/>
          <w:szCs w:val="11"/>
          <w:color w:val="auto"/>
        </w:rPr>
        <w:t>T</w:t>
      </w:r>
    </w:p>
    <w:p>
      <w:pPr>
        <w:spacing w:after="0" w:line="219" w:lineRule="exact"/>
        <w:rPr>
          <w:sz w:val="20"/>
          <w:szCs w:val="20"/>
          <w:color w:val="auto"/>
        </w:rPr>
      </w:pPr>
    </w:p>
    <w:p>
      <w:pPr>
        <w:spacing w:after="0"/>
        <w:tabs>
          <w:tab w:leader="none" w:pos="200" w:val="left"/>
          <w:tab w:leader="none" w:pos="1400" w:val="left"/>
        </w:tabs>
        <w:rPr>
          <w:sz w:val="20"/>
          <w:szCs w:val="20"/>
          <w:color w:val="auto"/>
        </w:rPr>
      </w:pPr>
      <w:r>
        <w:rPr>
          <w:rFonts w:ascii="Arial" w:cs="Arial" w:eastAsia="Arial" w:hAnsi="Arial"/>
          <w:sz w:val="13"/>
          <w:szCs w:val="13"/>
          <w:color w:val="auto"/>
        </w:rPr>
        <w:t>D</w:t>
        <w:tab/>
        <w:t>+ 1 918 877 0800F</w:t>
      </w:r>
      <w:r>
        <w:rPr>
          <w:sz w:val="20"/>
          <w:szCs w:val="20"/>
          <w:color w:val="auto"/>
        </w:rPr>
        <w:tab/>
      </w:r>
      <w:r>
        <w:rPr>
          <w:rFonts w:ascii="Arial" w:cs="Arial" w:eastAsia="Arial" w:hAnsi="Arial"/>
          <w:sz w:val="12"/>
          <w:szCs w:val="12"/>
          <w:color w:val="auto"/>
        </w:rPr>
        <w:t>+1 918 877</w:t>
      </w:r>
    </w:p>
    <w:p>
      <w:pPr>
        <w:spacing w:after="0" w:line="216" w:lineRule="auto"/>
        <w:rPr>
          <w:sz w:val="20"/>
          <w:szCs w:val="20"/>
          <w:color w:val="auto"/>
        </w:rPr>
      </w:pPr>
      <w:r>
        <w:rPr>
          <w:rFonts w:ascii="Arial" w:cs="Arial" w:eastAsia="Arial" w:hAnsi="Arial"/>
          <w:sz w:val="13"/>
          <w:szCs w:val="13"/>
          <w:color w:val="auto"/>
        </w:rPr>
        <w:t>0805</w:t>
      </w:r>
    </w:p>
    <w:p>
      <w:pPr>
        <w:spacing w:after="0"/>
        <w:rPr>
          <w:sz w:val="20"/>
          <w:szCs w:val="20"/>
          <w:color w:val="auto"/>
        </w:rPr>
      </w:pPr>
      <w:r>
        <w:rPr>
          <w:rFonts w:ascii="Arial" w:cs="Arial" w:eastAsia="Arial" w:hAnsi="Arial"/>
          <w:sz w:val="13"/>
          <w:szCs w:val="13"/>
          <w:color w:val="auto"/>
        </w:rPr>
        <w:t>www.GrantThornton.com</w:t>
      </w:r>
    </w:p>
    <w:p>
      <w:pPr>
        <w:spacing w:after="0" w:line="1897" w:lineRule="exact"/>
        <w:rPr>
          <w:sz w:val="20"/>
          <w:szCs w:val="20"/>
          <w:color w:val="auto"/>
        </w:rPr>
      </w:pPr>
    </w:p>
    <w:p>
      <w:pPr>
        <w:sectPr>
          <w:pgSz w:w="11900" w:h="16838" w:orient="portrait"/>
          <w:cols w:equalWidth="0" w:num="2">
            <w:col w:w="6380" w:space="720"/>
            <w:col w:w="2060"/>
          </w:cols>
          <w:pgMar w:left="1440" w:top="365" w:right="1299" w:bottom="1440" w:gutter="0" w:footer="0" w:header="0"/>
          <w:type w:val="continuous"/>
        </w:sectPr>
      </w:pPr>
    </w:p>
    <w:p>
      <w:pPr>
        <w:spacing w:after="0" w:line="56" w:lineRule="exact"/>
        <w:rPr>
          <w:sz w:val="20"/>
          <w:szCs w:val="20"/>
          <w:color w:val="auto"/>
        </w:rPr>
      </w:pPr>
    </w:p>
    <w:p>
      <w:pPr>
        <w:jc w:val="both"/>
        <w:ind w:left="1400" w:right="840"/>
        <w:spacing w:after="0" w:line="295" w:lineRule="auto"/>
        <w:rPr>
          <w:sz w:val="20"/>
          <w:szCs w:val="20"/>
          <w:color w:val="auto"/>
        </w:rPr>
      </w:pPr>
      <w:r>
        <w:rPr>
          <w:rFonts w:ascii="Times New Roman" w:cs="Times New Roman" w:eastAsia="Times New Roman" w:hAnsi="Times New Roman"/>
          <w:sz w:val="19"/>
          <w:szCs w:val="19"/>
          <w:color w:val="auto"/>
        </w:rPr>
        <w:t>We are providing this letter solely for inclusion as an exhibit to Cardinal Infrastructure Group Inc. (the “Company") Form 10-Q filing pursuant to Item 601 of Regulation S-K.</w:t>
      </w:r>
    </w:p>
    <w:p>
      <w:pPr>
        <w:spacing w:after="0" w:line="178" w:lineRule="exact"/>
        <w:rPr>
          <w:sz w:val="20"/>
          <w:szCs w:val="20"/>
          <w:color w:val="auto"/>
        </w:rPr>
      </w:pPr>
    </w:p>
    <w:p>
      <w:pPr>
        <w:ind w:left="1400" w:right="420"/>
        <w:spacing w:after="0" w:line="243" w:lineRule="auto"/>
        <w:rPr>
          <w:sz w:val="20"/>
          <w:szCs w:val="20"/>
          <w:color w:val="auto"/>
        </w:rPr>
      </w:pPr>
      <w:r>
        <w:rPr>
          <w:rFonts w:ascii="Times New Roman" w:cs="Times New Roman" w:eastAsia="Times New Roman" w:hAnsi="Times New Roman"/>
          <w:sz w:val="20"/>
          <w:szCs w:val="20"/>
          <w:color w:val="auto"/>
        </w:rPr>
        <w:t>As stated in Note 2 to the unaudited condensed consolidated financial statements included in the Company’s Quarterly Report on Form 10-Q for the quarterly period ended March 31, 2026, the Company changed its accounting for depreciation on property and equipment from accelerated depreciation methods (principally the double-declining-balance method) to the straight-line depreciation method. Note 2 also states management’s belief that the newly adopted accounting principle is preferable in the circumstances because the straight-line depreciation method will more accurately reflect the pattern of usage and the expected benefits of such assets and provide greater consistency with the depreciation methods used by other companies in the Company’s industry.</w:t>
      </w:r>
    </w:p>
    <w:p>
      <w:pPr>
        <w:spacing w:after="0" w:line="226" w:lineRule="exact"/>
        <w:rPr>
          <w:sz w:val="20"/>
          <w:szCs w:val="20"/>
          <w:color w:val="auto"/>
        </w:rPr>
      </w:pPr>
    </w:p>
    <w:p>
      <w:pPr>
        <w:ind w:left="1400" w:right="640"/>
        <w:spacing w:after="0" w:line="263" w:lineRule="auto"/>
        <w:rPr>
          <w:sz w:val="20"/>
          <w:szCs w:val="20"/>
          <w:color w:val="auto"/>
        </w:rPr>
      </w:pPr>
      <w:r>
        <w:rPr>
          <w:rFonts w:ascii="Times New Roman" w:cs="Times New Roman" w:eastAsia="Times New Roman" w:hAnsi="Times New Roman"/>
          <w:sz w:val="19"/>
          <w:szCs w:val="19"/>
          <w:color w:val="auto"/>
        </w:rPr>
        <w:t>With regard to the aforementioned accounting change, it should be understood that authoritative criteria have not been established for evaluating the preferability of one acceptable method of accounting over another acceptable method and, in expressing our concurrence below, we have relied on management’s business planning and judgment and on management’s determination that this change in accounting principle is preferable.</w:t>
      </w:r>
    </w:p>
    <w:p>
      <w:pPr>
        <w:spacing w:after="0" w:line="207" w:lineRule="exact"/>
        <w:rPr>
          <w:sz w:val="20"/>
          <w:szCs w:val="20"/>
          <w:color w:val="auto"/>
        </w:rPr>
      </w:pPr>
    </w:p>
    <w:p>
      <w:pPr>
        <w:ind w:left="1400" w:right="420"/>
        <w:spacing w:after="0" w:line="246" w:lineRule="auto"/>
        <w:rPr>
          <w:sz w:val="20"/>
          <w:szCs w:val="20"/>
          <w:color w:val="auto"/>
        </w:rPr>
      </w:pPr>
      <w:r>
        <w:rPr>
          <w:rFonts w:ascii="Times New Roman" w:cs="Times New Roman" w:eastAsia="Times New Roman" w:hAnsi="Times New Roman"/>
          <w:sz w:val="20"/>
          <w:szCs w:val="20"/>
          <w:color w:val="auto"/>
        </w:rPr>
        <w:t>Based on our reading of management’s stated reasons and justification for this change in accounting principle in the Form 10-Q, and our discussions with management as to their judgment about the relevant business planning factors relating to the change, we concur with management that the newly adopted method of accounting is preferable in the Company’s circumstances.</w:t>
      </w:r>
    </w:p>
    <w:p>
      <w:pPr>
        <w:spacing w:after="0" w:line="225" w:lineRule="exact"/>
        <w:rPr>
          <w:sz w:val="20"/>
          <w:szCs w:val="20"/>
          <w:color w:val="auto"/>
        </w:rPr>
      </w:pPr>
    </w:p>
    <w:p>
      <w:pPr>
        <w:ind w:left="1400" w:right="780"/>
        <w:spacing w:after="0" w:line="246" w:lineRule="auto"/>
        <w:rPr>
          <w:sz w:val="20"/>
          <w:szCs w:val="20"/>
          <w:color w:val="auto"/>
        </w:rPr>
      </w:pPr>
      <w:r>
        <w:rPr>
          <w:rFonts w:ascii="Times New Roman" w:cs="Times New Roman" w:eastAsia="Times New Roman" w:hAnsi="Times New Roman"/>
          <w:sz w:val="20"/>
          <w:szCs w:val="20"/>
          <w:color w:val="auto"/>
        </w:rPr>
        <w:t>We have not audited the application of the aforementioned accounting change to the financial statements included in Part I of the Company’s Form 10-Q. We also have not audited any consolidated financial statements of the Company as of any date or for any period subsequent to December 31, 2025. Accordingly, we do not express an opinion on whether the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0"/>
          <w:szCs w:val="10"/>
          <w:b w:val="1"/>
          <w:bCs w:val="1"/>
          <w:color w:val="auto"/>
        </w:rPr>
        <w:t>Grant Thornton LLP</w:t>
      </w:r>
    </w:p>
    <w:p>
      <w:pPr>
        <w:spacing w:after="0" w:line="17" w:lineRule="exact"/>
        <w:rPr>
          <w:sz w:val="20"/>
          <w:szCs w:val="20"/>
          <w:color w:val="auto"/>
        </w:rPr>
      </w:pPr>
    </w:p>
    <w:p>
      <w:pPr>
        <w:ind w:left="1440"/>
        <w:spacing w:after="0"/>
        <w:rPr>
          <w:sz w:val="20"/>
          <w:szCs w:val="20"/>
          <w:color w:val="auto"/>
        </w:rPr>
      </w:pPr>
      <w:r>
        <w:rPr>
          <w:rFonts w:ascii="Arial" w:cs="Arial" w:eastAsia="Arial" w:hAnsi="Arial"/>
          <w:sz w:val="10"/>
          <w:szCs w:val="10"/>
          <w:color w:val="auto"/>
        </w:rPr>
        <w:t>U.S. member firm of Grant Thornton International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314325</wp:posOffset>
            </wp:positionV>
            <wp:extent cx="703770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160"/>
          </w:cols>
          <w:pgMar w:left="1440" w:top="365" w:right="1299" w:bottom="1440" w:gutter="0" w:footer="0" w:header="0"/>
          <w:type w:val="continuous"/>
        </w:sectPr>
      </w:pPr>
    </w:p>
    <w:bookmarkStart w:id="52" w:name="page53"/>
    <w:bookmarkEnd w:id="52"/>
    <w:p>
      <w:pPr>
        <w:jc w:val="right"/>
        <w:ind w:right="279"/>
        <w:spacing w:after="0"/>
        <w:rPr>
          <w:sz w:val="20"/>
          <w:szCs w:val="20"/>
          <w:color w:val="auto"/>
        </w:rPr>
      </w:pPr>
      <w:r>
        <w:rPr>
          <w:rFonts w:ascii="Arial" w:cs="Arial" w:eastAsia="Arial" w:hAnsi="Arial"/>
          <w:sz w:val="14"/>
          <w:szCs w:val="14"/>
          <w:b w:val="1"/>
          <w:bCs w:val="1"/>
          <w:color w:val="747678"/>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1146175</wp:posOffset>
            </wp:positionH>
            <wp:positionV relativeFrom="paragraph">
              <wp:posOffset>32385</wp:posOffset>
            </wp:positionV>
            <wp:extent cx="1577340" cy="3003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157734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400" w:right="739"/>
        <w:spacing w:after="0" w:line="254" w:lineRule="auto"/>
        <w:rPr>
          <w:sz w:val="20"/>
          <w:szCs w:val="20"/>
          <w:color w:val="auto"/>
        </w:rPr>
      </w:pPr>
      <w:r>
        <w:rPr>
          <w:rFonts w:ascii="Times New Roman" w:cs="Times New Roman" w:eastAsia="Times New Roman" w:hAnsi="Times New Roman"/>
          <w:sz w:val="20"/>
          <w:szCs w:val="20"/>
          <w:color w:val="auto"/>
        </w:rPr>
        <w:t>for the change in accounting principle has been properly applied or whether the aforementioned financial statements are fairly presented in conformity with accounting principles generally accepted in the United States of America.</w:t>
      </w:r>
    </w:p>
    <w:p>
      <w:pPr>
        <w:spacing w:after="0" w:line="21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0"/>
          <w:szCs w:val="20"/>
          <w:color w:val="auto"/>
        </w:rPr>
        <w:t>Sincerely,</w:t>
      </w:r>
    </w:p>
    <w:p>
      <w:pPr>
        <w:spacing w:after="0" w:line="256"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256"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0"/>
          <w:szCs w:val="20"/>
          <w:color w:val="auto"/>
        </w:rPr>
        <w:t>Tulsa, Oklahoma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Grant Thornton LLP</w:t>
      </w:r>
    </w:p>
    <w:p>
      <w:pPr>
        <w:spacing w:after="0" w:line="17" w:lineRule="exact"/>
        <w:rPr>
          <w:sz w:val="20"/>
          <w:szCs w:val="20"/>
          <w:color w:val="auto"/>
        </w:rPr>
      </w:pPr>
    </w:p>
    <w:p>
      <w:pPr>
        <w:spacing w:after="0"/>
        <w:rPr>
          <w:sz w:val="20"/>
          <w:szCs w:val="20"/>
          <w:color w:val="auto"/>
        </w:rPr>
      </w:pPr>
      <w:r>
        <w:rPr>
          <w:rFonts w:ascii="Arial" w:cs="Arial" w:eastAsia="Arial" w:hAnsi="Arial"/>
          <w:sz w:val="10"/>
          <w:szCs w:val="10"/>
          <w:color w:val="auto"/>
        </w:rPr>
        <w:t>U.S. member firm of Grant Thornton International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254000</wp:posOffset>
            </wp:positionV>
            <wp:extent cx="703770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387" w:right="1440"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Jeremy Spivey, certify that:</w:t>
      </w:r>
    </w:p>
    <w:p>
      <w:pPr>
        <w:spacing w:after="0" w:line="225"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Cardinal Infrastructure Group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18"/>
          <w:szCs w:val="18"/>
          <w:color w:val="auto"/>
        </w:rPr>
        <w:t>Date:May 13, 2026</w:t>
      </w:r>
      <w:r>
        <w:rPr>
          <w:sz w:val="20"/>
          <w:szCs w:val="20"/>
          <w:color w:val="auto"/>
        </w:rPr>
        <w:tab/>
      </w:r>
      <w:r>
        <w:rPr>
          <w:rFonts w:ascii="Times New Roman" w:cs="Times New Roman" w:eastAsia="Times New Roman" w:hAnsi="Times New Roman"/>
          <w:sz w:val="17"/>
          <w:szCs w:val="17"/>
          <w:color w:val="auto"/>
        </w:rPr>
        <w:t>By:</w:t>
      </w:r>
    </w:p>
    <w:p>
      <w:pPr>
        <w:spacing w:after="0" w:line="1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/s/ Jeremy Spivey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4445</wp:posOffset>
            </wp:positionV>
            <wp:extent cx="330898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ind w:left="8060"/>
        <w:spacing w:after="0"/>
        <w:rPr>
          <w:sz w:val="20"/>
          <w:szCs w:val="20"/>
          <w:color w:val="auto"/>
        </w:rPr>
      </w:pPr>
      <w:r>
        <w:rPr>
          <w:rFonts w:ascii="Times New Roman" w:cs="Times New Roman" w:eastAsia="Times New Roman" w:hAnsi="Times New Roman"/>
          <w:sz w:val="18"/>
          <w:szCs w:val="18"/>
          <w:b w:val="1"/>
          <w:bCs w:val="1"/>
          <w:color w:val="auto"/>
        </w:rPr>
        <w:t>Jeremy Spivey</w:t>
      </w:r>
    </w:p>
    <w:p>
      <w:pPr>
        <w:spacing w:after="0" w:line="23"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Mike Rowe, certify that:</w:t>
      </w:r>
    </w:p>
    <w:p>
      <w:pPr>
        <w:spacing w:after="0" w:line="225"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Cardinal Infrastructure Group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 w:leader="none" w:pos="8080" w:val="left"/>
        </w:tabs>
        <w:rPr>
          <w:sz w:val="20"/>
          <w:szCs w:val="20"/>
          <w:color w:val="auto"/>
        </w:rPr>
      </w:pPr>
      <w:r>
        <w:rPr>
          <w:rFonts w:ascii="Times New Roman" w:cs="Times New Roman" w:eastAsia="Times New Roman" w:hAnsi="Times New Roman"/>
          <w:sz w:val="18"/>
          <w:szCs w:val="18"/>
          <w:color w:val="auto"/>
        </w:rPr>
        <w:t>Date:May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Mike Rowe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b w:val="1"/>
          <w:bCs w:val="1"/>
          <w:color w:val="auto"/>
        </w:rPr>
        <w:t>Mike Rowe,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Cardinal Infrastructure Group Inc. (the “Company”) on Form 10-Q for the period ending March 31,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Jeremy Spivey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Jeremy Spivey,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Cardinal Infrastructure Group Inc. (the “Company”) on Form 10-Q for the period ending March 31,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 w:leader="none" w:pos="8080" w:val="left"/>
        </w:tabs>
        <w:rPr>
          <w:sz w:val="20"/>
          <w:szCs w:val="20"/>
          <w:color w:val="auto"/>
        </w:rPr>
      </w:pPr>
      <w:r>
        <w:rPr>
          <w:rFonts w:ascii="Times New Roman" w:cs="Times New Roman" w:eastAsia="Times New Roman" w:hAnsi="Times New Roman"/>
          <w:sz w:val="18"/>
          <w:szCs w:val="18"/>
          <w:color w:val="auto"/>
        </w:rPr>
        <w:t>Date:May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Mike Rowe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b w:val="1"/>
          <w:bCs w:val="1"/>
          <w:color w:val="auto"/>
        </w:rPr>
        <w:t>Mike Rowe,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b w:val="1"/>
          <w:bCs w:val="1"/>
          <w:color w:val="auto"/>
        </w:rPr>
        <w:t>Exhibit 95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Mine Safety and Health Administration Safety Data</w:t>
      </w:r>
    </w:p>
    <w:p>
      <w:pPr>
        <w:spacing w:after="0" w:line="209" w:lineRule="exact"/>
        <w:rPr>
          <w:sz w:val="20"/>
          <w:szCs w:val="20"/>
          <w:color w:val="auto"/>
        </w:rPr>
      </w:pPr>
    </w:p>
    <w:p>
      <w:pPr>
        <w:jc w:val="both"/>
        <w:ind w:right="100"/>
        <w:spacing w:after="0" w:line="239" w:lineRule="auto"/>
        <w:rPr>
          <w:sz w:val="20"/>
          <w:szCs w:val="20"/>
          <w:color w:val="auto"/>
        </w:rPr>
      </w:pPr>
      <w:r>
        <w:rPr>
          <w:rFonts w:ascii="Times New Roman" w:cs="Times New Roman" w:eastAsia="Times New Roman" w:hAnsi="Times New Roman"/>
          <w:sz w:val="22"/>
          <w:szCs w:val="22"/>
          <w:color w:val="auto"/>
        </w:rPr>
        <w:t>The Company provides contract drilling and blasting services to mine operators at various mine sites subject to the Federal Mine Safety and Health Act of 1977 (the “Mine Act”), as administered by the Mine Safety and Health Administration (“MSHA”). The Company does not own, operate, or control any mine and holds no mine operator identification number. The Company operates as an independent contractor under two MSHA contractor identification numbers: C9141 and C5080</w:t>
      </w:r>
    </w:p>
    <w:p>
      <w:pPr>
        <w:spacing w:after="0" w:line="207"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Pursuant to Section 1503 of the Dodd-Frank Wall Street Reform and Consumer Protection Act and the rules adopted thereunder by the U.S. Securities and Exchange Commission (17 C.F.R. §§ 229.104 and 249.308a), the Company discloses below the mine safety information required for the quarterly period ended March 31, 2026. The information relates solely to MSHA enforcement actions directed at the Company in its capacity as an independent contractor at mine sites during the period. All citations and orders described herein were received while performing services at third-party-owned mines.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MSHA Contractor ID: C5080</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2160" w:type="dxa"/>
            <w:vAlign w:val="bottom"/>
            <w:tcBorders>
              <w:top w:val="single" w:sz="8" w:color="AAAAAA"/>
              <w:left w:val="single" w:sz="8" w:color="AAAAAA"/>
              <w:right w:val="single" w:sz="8" w:color="AAAAAA"/>
            </w:tcBorders>
          </w:tcPr>
          <w:p>
            <w:pPr>
              <w:spacing w:after="0"/>
              <w:rPr>
                <w:sz w:val="24"/>
                <w:szCs w:val="24"/>
                <w:color w:val="auto"/>
              </w:rPr>
            </w:pPr>
          </w:p>
        </w:tc>
        <w:tc>
          <w:tcPr>
            <w:tcW w:w="900" w:type="dxa"/>
            <w:vAlign w:val="bottom"/>
            <w:tcBorders>
              <w:top w:val="single" w:sz="8" w:color="AAAAAA"/>
              <w:right w:val="single" w:sz="8" w:color="AAAAAA"/>
            </w:tcBorders>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Sec.</w:t>
            </w:r>
          </w:p>
        </w:tc>
        <w:tc>
          <w:tcPr>
            <w:tcW w:w="780" w:type="dxa"/>
            <w:vAlign w:val="bottom"/>
            <w:tcBorders>
              <w:top w:val="single" w:sz="8" w:color="AAAAAA"/>
              <w:right w:val="single" w:sz="8" w:color="AAAAAA"/>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Sec.</w:t>
            </w:r>
          </w:p>
        </w:tc>
        <w:tc>
          <w:tcPr>
            <w:tcW w:w="1020" w:type="dxa"/>
            <w:vAlign w:val="bottom"/>
            <w:tcBorders>
              <w:top w:val="single" w:sz="8" w:color="AAAAAA"/>
              <w:right w:val="single" w:sz="8" w:color="AAAAAA"/>
            </w:tcBorders>
          </w:tcPr>
          <w:p>
            <w:pPr>
              <w:ind w:left="140"/>
              <w:spacing w:after="0"/>
              <w:rPr>
                <w:sz w:val="20"/>
                <w:szCs w:val="20"/>
                <w:color w:val="auto"/>
              </w:rPr>
            </w:pPr>
            <w:r>
              <w:rPr>
                <w:rFonts w:ascii="Times New Roman" w:cs="Times New Roman" w:eastAsia="Times New Roman" w:hAnsi="Times New Roman"/>
                <w:sz w:val="22"/>
                <w:szCs w:val="22"/>
                <w:b w:val="1"/>
                <w:bCs w:val="1"/>
                <w:color w:val="auto"/>
              </w:rPr>
              <w:t>Sec.</w:t>
            </w:r>
          </w:p>
        </w:tc>
        <w:tc>
          <w:tcPr>
            <w:tcW w:w="1240" w:type="dxa"/>
            <w:vAlign w:val="bottom"/>
            <w:tcBorders>
              <w:top w:val="single" w:sz="8" w:color="AAAAAA"/>
              <w:right w:val="single" w:sz="8" w:color="AAAAAA"/>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Sec.</w:t>
            </w:r>
          </w:p>
        </w:tc>
        <w:tc>
          <w:tcPr>
            <w:tcW w:w="1700" w:type="dxa"/>
            <w:vAlign w:val="bottom"/>
            <w:tcBorders>
              <w:top w:val="single" w:sz="8" w:color="AAAAAA"/>
              <w:right w:val="single" w:sz="8" w:color="AAAAAA"/>
            </w:tcBorders>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Proposed</w:t>
            </w:r>
          </w:p>
        </w:tc>
        <w:tc>
          <w:tcPr>
            <w:tcW w:w="1200" w:type="dxa"/>
            <w:vAlign w:val="bottom"/>
            <w:tcBorders>
              <w:top w:val="single" w:sz="8" w:color="AAAAAA"/>
              <w:right w:val="single" w:sz="8" w:color="AAAAAA"/>
            </w:tcBorders>
          </w:tcPr>
          <w:p>
            <w:pPr>
              <w:spacing w:after="0"/>
              <w:rPr>
                <w:sz w:val="24"/>
                <w:szCs w:val="24"/>
                <w:color w:val="auto"/>
              </w:rPr>
            </w:pPr>
          </w:p>
        </w:tc>
        <w:tc>
          <w:tcPr>
            <w:tcW w:w="1120" w:type="dxa"/>
            <w:vAlign w:val="bottom"/>
            <w:tcBorders>
              <w:top w:val="single" w:sz="8" w:color="AAAAAA"/>
              <w:right w:val="single" w:sz="8" w:color="AAAAAA"/>
            </w:tcBorders>
          </w:tcPr>
          <w:p>
            <w:pPr>
              <w:spacing w:after="0"/>
              <w:rPr>
                <w:sz w:val="24"/>
                <w:szCs w:val="24"/>
                <w:color w:val="auto"/>
              </w:rPr>
            </w:pPr>
          </w:p>
        </w:tc>
        <w:tc>
          <w:tcPr>
            <w:tcW w:w="900" w:type="dxa"/>
            <w:vAlign w:val="bottom"/>
            <w:tcBorders>
              <w:top w:val="single" w:sz="8" w:color="AAAAAA"/>
              <w:right w:val="single" w:sz="8" w:color="AAAAAA"/>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160" w:type="dxa"/>
            <w:vAlign w:val="bottom"/>
            <w:tcBorders>
              <w:left w:val="single" w:sz="8" w:color="AAAAAA"/>
              <w:right w:val="single" w:sz="8" w:color="AAAAAA"/>
            </w:tcBorders>
          </w:tcPr>
          <w:p>
            <w:pPr>
              <w:spacing w:after="0"/>
              <w:rPr>
                <w:sz w:val="10"/>
                <w:szCs w:val="10"/>
                <w:color w:val="auto"/>
              </w:rPr>
            </w:pPr>
          </w:p>
        </w:tc>
        <w:tc>
          <w:tcPr>
            <w:tcW w:w="900" w:type="dxa"/>
            <w:vAlign w:val="bottom"/>
            <w:tcBorders>
              <w:right w:val="single" w:sz="8" w:color="AAAAAA"/>
            </w:tcBorders>
            <w:vMerge w:val="continue"/>
          </w:tcPr>
          <w:p>
            <w:pPr>
              <w:spacing w:after="0"/>
              <w:rPr>
                <w:sz w:val="10"/>
                <w:szCs w:val="10"/>
                <w:color w:val="auto"/>
              </w:rPr>
            </w:pPr>
          </w:p>
        </w:tc>
        <w:tc>
          <w:tcPr>
            <w:tcW w:w="780" w:type="dxa"/>
            <w:vAlign w:val="bottom"/>
            <w:tcBorders>
              <w:right w:val="single" w:sz="8" w:color="AAAAAA"/>
            </w:tcBorders>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104(b</w:t>
            </w:r>
          </w:p>
        </w:tc>
        <w:tc>
          <w:tcPr>
            <w:tcW w:w="1020" w:type="dxa"/>
            <w:vAlign w:val="bottom"/>
            <w:tcBorders>
              <w:right w:val="single" w:sz="8" w:color="AAAAAA"/>
            </w:tcBorders>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104(d)</w:t>
            </w:r>
          </w:p>
        </w:tc>
        <w:tc>
          <w:tcPr>
            <w:tcW w:w="1240" w:type="dxa"/>
            <w:vAlign w:val="bottom"/>
            <w:tcBorders>
              <w:right w:val="single" w:sz="8" w:color="AAAAAA"/>
            </w:tcBorders>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107(a)</w:t>
            </w:r>
          </w:p>
        </w:tc>
        <w:tc>
          <w:tcPr>
            <w:tcW w:w="1700" w:type="dxa"/>
            <w:vAlign w:val="bottom"/>
            <w:tcBorders>
              <w:right w:val="single" w:sz="8" w:color="AAAAAA"/>
            </w:tcBorders>
            <w:vMerge w:val="continue"/>
          </w:tcPr>
          <w:p>
            <w:pPr>
              <w:spacing w:after="0"/>
              <w:rPr>
                <w:sz w:val="10"/>
                <w:szCs w:val="10"/>
                <w:color w:val="auto"/>
              </w:rPr>
            </w:pPr>
          </w:p>
        </w:tc>
        <w:tc>
          <w:tcPr>
            <w:tcW w:w="1200" w:type="dxa"/>
            <w:vAlign w:val="bottom"/>
            <w:tcBorders>
              <w:right w:val="single" w:sz="8" w:color="AAAAAA"/>
            </w:tcBorders>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Mining-</w:t>
            </w:r>
          </w:p>
        </w:tc>
        <w:tc>
          <w:tcPr>
            <w:tcW w:w="1120" w:type="dxa"/>
            <w:vAlign w:val="bottom"/>
            <w:tcBorders>
              <w:right w:val="single" w:sz="8" w:color="AAAAAA"/>
            </w:tcBorders>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Pending</w:t>
            </w:r>
          </w:p>
        </w:tc>
        <w:tc>
          <w:tcPr>
            <w:tcW w:w="900" w:type="dxa"/>
            <w:vAlign w:val="bottom"/>
            <w:tcBorders>
              <w:right w:val="single" w:sz="8" w:color="AAAAAA"/>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60" w:type="dxa"/>
            <w:vAlign w:val="bottom"/>
            <w:tcBorders>
              <w:left w:val="single" w:sz="8" w:color="AAAAAA"/>
              <w:right w:val="single" w:sz="8" w:color="AAAAAA"/>
            </w:tcBorders>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Mine / Site Name &amp;</w:t>
            </w:r>
          </w:p>
        </w:tc>
        <w:tc>
          <w:tcPr>
            <w:tcW w:w="900" w:type="dxa"/>
            <w:vAlign w:val="bottom"/>
            <w:tcBorders>
              <w:right w:val="single" w:sz="8" w:color="AAAAAA"/>
            </w:tcBorders>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104</w:t>
            </w:r>
          </w:p>
        </w:tc>
        <w:tc>
          <w:tcPr>
            <w:tcW w:w="780" w:type="dxa"/>
            <w:vAlign w:val="bottom"/>
            <w:tcBorders>
              <w:right w:val="single" w:sz="8" w:color="AAAAAA"/>
            </w:tcBorders>
            <w:vMerge w:val="continue"/>
          </w:tcPr>
          <w:p>
            <w:pPr>
              <w:spacing w:after="0"/>
              <w:rPr>
                <w:sz w:val="10"/>
                <w:szCs w:val="10"/>
                <w:color w:val="auto"/>
              </w:rPr>
            </w:pPr>
          </w:p>
        </w:tc>
        <w:tc>
          <w:tcPr>
            <w:tcW w:w="1020" w:type="dxa"/>
            <w:vAlign w:val="bottom"/>
            <w:tcBorders>
              <w:right w:val="single" w:sz="8" w:color="AAAAAA"/>
            </w:tcBorders>
            <w:vMerge w:val="continue"/>
          </w:tcPr>
          <w:p>
            <w:pPr>
              <w:spacing w:after="0"/>
              <w:rPr>
                <w:sz w:val="10"/>
                <w:szCs w:val="10"/>
                <w:color w:val="auto"/>
              </w:rPr>
            </w:pPr>
          </w:p>
        </w:tc>
        <w:tc>
          <w:tcPr>
            <w:tcW w:w="1240" w:type="dxa"/>
            <w:vAlign w:val="bottom"/>
            <w:tcBorders>
              <w:right w:val="single" w:sz="8" w:color="AAAAAA"/>
            </w:tcBorders>
            <w:vMerge w:val="continue"/>
          </w:tcPr>
          <w:p>
            <w:pPr>
              <w:spacing w:after="0"/>
              <w:rPr>
                <w:sz w:val="10"/>
                <w:szCs w:val="10"/>
                <w:color w:val="auto"/>
              </w:rPr>
            </w:pPr>
          </w:p>
        </w:tc>
        <w:tc>
          <w:tcPr>
            <w:tcW w:w="1700" w:type="dxa"/>
            <w:vAlign w:val="bottom"/>
            <w:tcBorders>
              <w:right w:val="single" w:sz="8" w:color="AAAAAA"/>
            </w:tcBorders>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Penalty</w:t>
            </w:r>
          </w:p>
        </w:tc>
        <w:tc>
          <w:tcPr>
            <w:tcW w:w="1200" w:type="dxa"/>
            <w:vAlign w:val="bottom"/>
            <w:tcBorders>
              <w:right w:val="single" w:sz="8" w:color="AAAAAA"/>
            </w:tcBorders>
            <w:vMerge w:val="continue"/>
          </w:tcPr>
          <w:p>
            <w:pPr>
              <w:spacing w:after="0"/>
              <w:rPr>
                <w:sz w:val="10"/>
                <w:szCs w:val="10"/>
                <w:color w:val="auto"/>
              </w:rPr>
            </w:pPr>
          </w:p>
        </w:tc>
        <w:tc>
          <w:tcPr>
            <w:tcW w:w="1120" w:type="dxa"/>
            <w:vAlign w:val="bottom"/>
            <w:tcBorders>
              <w:right w:val="single" w:sz="8" w:color="AAAAAA"/>
            </w:tcBorders>
            <w:vMerge w:val="continue"/>
          </w:tcPr>
          <w:p>
            <w:pPr>
              <w:spacing w:after="0"/>
              <w:rPr>
                <w:sz w:val="10"/>
                <w:szCs w:val="10"/>
                <w:color w:val="auto"/>
              </w:rPr>
            </w:pPr>
          </w:p>
        </w:tc>
        <w:tc>
          <w:tcPr>
            <w:tcW w:w="900" w:type="dxa"/>
            <w:vAlign w:val="bottom"/>
            <w:tcBorders>
              <w:right w:val="single" w:sz="8" w:color="AAAAAA"/>
            </w:tcBorders>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8-K</w:t>
            </w:r>
          </w:p>
        </w:tc>
        <w:tc>
          <w:tcPr>
            <w:tcW w:w="0" w:type="dxa"/>
            <w:vAlign w:val="bottom"/>
          </w:tcPr>
          <w:p>
            <w:pPr>
              <w:spacing w:after="0"/>
              <w:rPr>
                <w:sz w:val="1"/>
                <w:szCs w:val="1"/>
                <w:color w:val="auto"/>
              </w:rPr>
            </w:pPr>
          </w:p>
        </w:tc>
      </w:tr>
      <w:tr>
        <w:trPr>
          <w:trHeight w:val="122"/>
        </w:trPr>
        <w:tc>
          <w:tcPr>
            <w:tcW w:w="2160" w:type="dxa"/>
            <w:vAlign w:val="bottom"/>
            <w:tcBorders>
              <w:left w:val="single" w:sz="8" w:color="AAAAAA"/>
              <w:right w:val="single" w:sz="8" w:color="AAAAAA"/>
            </w:tcBorders>
            <w:vMerge w:val="continue"/>
          </w:tcPr>
          <w:p>
            <w:pPr>
              <w:spacing w:after="0"/>
              <w:rPr>
                <w:sz w:val="10"/>
                <w:szCs w:val="10"/>
                <w:color w:val="auto"/>
              </w:rPr>
            </w:pPr>
          </w:p>
        </w:tc>
        <w:tc>
          <w:tcPr>
            <w:tcW w:w="900" w:type="dxa"/>
            <w:vAlign w:val="bottom"/>
            <w:tcBorders>
              <w:right w:val="single" w:sz="8" w:color="AAAAAA"/>
            </w:tcBorders>
            <w:vMerge w:val="continue"/>
          </w:tcPr>
          <w:p>
            <w:pPr>
              <w:spacing w:after="0"/>
              <w:rPr>
                <w:sz w:val="10"/>
                <w:szCs w:val="10"/>
                <w:color w:val="auto"/>
              </w:rPr>
            </w:pPr>
          </w:p>
        </w:tc>
        <w:tc>
          <w:tcPr>
            <w:tcW w:w="780" w:type="dxa"/>
            <w:vAlign w:val="bottom"/>
            <w:tcBorders>
              <w:right w:val="single" w:sz="8" w:color="AAAAAA"/>
            </w:tcBorders>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1020" w:type="dxa"/>
            <w:vAlign w:val="bottom"/>
            <w:tcBorders>
              <w:right w:val="single" w:sz="8" w:color="AAAAAA"/>
            </w:tcBorders>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Citatio</w:t>
            </w:r>
          </w:p>
        </w:tc>
        <w:tc>
          <w:tcPr>
            <w:tcW w:w="1240" w:type="dxa"/>
            <w:vAlign w:val="bottom"/>
            <w:tcBorders>
              <w:right w:val="single" w:sz="8" w:color="AAAAAA"/>
            </w:tcBorders>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Imminent</w:t>
            </w:r>
          </w:p>
        </w:tc>
        <w:tc>
          <w:tcPr>
            <w:tcW w:w="1700" w:type="dxa"/>
            <w:vAlign w:val="bottom"/>
            <w:tcBorders>
              <w:right w:val="single" w:sz="8" w:color="AAAAAA"/>
            </w:tcBorders>
            <w:vMerge w:val="continue"/>
          </w:tcPr>
          <w:p>
            <w:pPr>
              <w:spacing w:after="0"/>
              <w:rPr>
                <w:sz w:val="10"/>
                <w:szCs w:val="10"/>
                <w:color w:val="auto"/>
              </w:rPr>
            </w:pPr>
          </w:p>
        </w:tc>
        <w:tc>
          <w:tcPr>
            <w:tcW w:w="1200" w:type="dxa"/>
            <w:vAlign w:val="bottom"/>
            <w:tcBorders>
              <w:right w:val="single" w:sz="8" w:color="AAAAAA"/>
            </w:tcBorders>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Related</w:t>
            </w:r>
          </w:p>
        </w:tc>
        <w:tc>
          <w:tcPr>
            <w:tcW w:w="1120" w:type="dxa"/>
            <w:vAlign w:val="bottom"/>
            <w:tcBorders>
              <w:right w:val="single" w:sz="8" w:color="AAAAAA"/>
            </w:tcBorders>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Legal</w:t>
            </w:r>
          </w:p>
        </w:tc>
        <w:tc>
          <w:tcPr>
            <w:tcW w:w="900" w:type="dxa"/>
            <w:vAlign w:val="bottom"/>
            <w:tcBorders>
              <w:right w:val="single" w:sz="8" w:color="AAAAA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tcBorders>
              <w:left w:val="single" w:sz="8" w:color="AAAAAA"/>
              <w:right w:val="single" w:sz="8" w:color="AAAAAA"/>
            </w:tcBorders>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State</w:t>
            </w:r>
          </w:p>
        </w:tc>
        <w:tc>
          <w:tcPr>
            <w:tcW w:w="900" w:type="dxa"/>
            <w:vAlign w:val="bottom"/>
            <w:tcBorders>
              <w:right w:val="single" w:sz="8" w:color="AAAAAA"/>
            </w:tcBorders>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Citati</w:t>
            </w:r>
          </w:p>
        </w:tc>
        <w:tc>
          <w:tcPr>
            <w:tcW w:w="780" w:type="dxa"/>
            <w:vAlign w:val="bottom"/>
            <w:tcBorders>
              <w:right w:val="single" w:sz="8" w:color="AAAAAA"/>
            </w:tcBorders>
            <w:vMerge w:val="continue"/>
          </w:tcPr>
          <w:p>
            <w:pPr>
              <w:spacing w:after="0"/>
              <w:rPr>
                <w:sz w:val="10"/>
                <w:szCs w:val="10"/>
                <w:color w:val="auto"/>
              </w:rPr>
            </w:pPr>
          </w:p>
        </w:tc>
        <w:tc>
          <w:tcPr>
            <w:tcW w:w="1020" w:type="dxa"/>
            <w:vAlign w:val="bottom"/>
            <w:tcBorders>
              <w:right w:val="single" w:sz="8" w:color="AAAAAA"/>
            </w:tcBorders>
            <w:vMerge w:val="continue"/>
          </w:tcPr>
          <w:p>
            <w:pPr>
              <w:spacing w:after="0"/>
              <w:rPr>
                <w:sz w:val="10"/>
                <w:szCs w:val="10"/>
                <w:color w:val="auto"/>
              </w:rPr>
            </w:pPr>
          </w:p>
        </w:tc>
        <w:tc>
          <w:tcPr>
            <w:tcW w:w="1240" w:type="dxa"/>
            <w:vAlign w:val="bottom"/>
            <w:tcBorders>
              <w:right w:val="single" w:sz="8" w:color="AAAAAA"/>
            </w:tcBorders>
            <w:vMerge w:val="continue"/>
          </w:tcPr>
          <w:p>
            <w:pPr>
              <w:spacing w:after="0"/>
              <w:rPr>
                <w:sz w:val="10"/>
                <w:szCs w:val="10"/>
                <w:color w:val="auto"/>
              </w:rPr>
            </w:pPr>
          </w:p>
        </w:tc>
        <w:tc>
          <w:tcPr>
            <w:tcW w:w="1700" w:type="dxa"/>
            <w:vAlign w:val="bottom"/>
            <w:tcBorders>
              <w:right w:val="single" w:sz="8" w:color="AAAAAA"/>
            </w:tcBorders>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Assessments</w:t>
            </w:r>
          </w:p>
        </w:tc>
        <w:tc>
          <w:tcPr>
            <w:tcW w:w="1200" w:type="dxa"/>
            <w:vAlign w:val="bottom"/>
            <w:tcBorders>
              <w:right w:val="single" w:sz="8" w:color="AAAAAA"/>
            </w:tcBorders>
            <w:vMerge w:val="continue"/>
          </w:tcPr>
          <w:p>
            <w:pPr>
              <w:spacing w:after="0"/>
              <w:rPr>
                <w:sz w:val="10"/>
                <w:szCs w:val="10"/>
                <w:color w:val="auto"/>
              </w:rPr>
            </w:pPr>
          </w:p>
        </w:tc>
        <w:tc>
          <w:tcPr>
            <w:tcW w:w="1120" w:type="dxa"/>
            <w:vAlign w:val="bottom"/>
            <w:tcBorders>
              <w:right w:val="single" w:sz="8" w:color="AAAAAA"/>
            </w:tcBorders>
            <w:vMerge w:val="continue"/>
          </w:tcPr>
          <w:p>
            <w:pPr>
              <w:spacing w:after="0"/>
              <w:rPr>
                <w:sz w:val="10"/>
                <w:szCs w:val="10"/>
                <w:color w:val="auto"/>
              </w:rPr>
            </w:pPr>
          </w:p>
        </w:tc>
        <w:tc>
          <w:tcPr>
            <w:tcW w:w="900" w:type="dxa"/>
            <w:vAlign w:val="bottom"/>
            <w:tcBorders>
              <w:right w:val="single" w:sz="8" w:color="AAAAAA"/>
            </w:tcBorders>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Filed?</w:t>
            </w:r>
          </w:p>
        </w:tc>
        <w:tc>
          <w:tcPr>
            <w:tcW w:w="0" w:type="dxa"/>
            <w:vAlign w:val="bottom"/>
          </w:tcPr>
          <w:p>
            <w:pPr>
              <w:spacing w:after="0"/>
              <w:rPr>
                <w:sz w:val="1"/>
                <w:szCs w:val="1"/>
                <w:color w:val="auto"/>
              </w:rPr>
            </w:pPr>
          </w:p>
        </w:tc>
      </w:tr>
      <w:tr>
        <w:trPr>
          <w:trHeight w:val="122"/>
        </w:trPr>
        <w:tc>
          <w:tcPr>
            <w:tcW w:w="2160" w:type="dxa"/>
            <w:vAlign w:val="bottom"/>
            <w:tcBorders>
              <w:left w:val="single" w:sz="8" w:color="AAAAAA"/>
              <w:right w:val="single" w:sz="8" w:color="AAAAAA"/>
            </w:tcBorders>
            <w:vMerge w:val="continue"/>
          </w:tcPr>
          <w:p>
            <w:pPr>
              <w:spacing w:after="0"/>
              <w:rPr>
                <w:sz w:val="10"/>
                <w:szCs w:val="10"/>
                <w:color w:val="auto"/>
              </w:rPr>
            </w:pPr>
          </w:p>
        </w:tc>
        <w:tc>
          <w:tcPr>
            <w:tcW w:w="900" w:type="dxa"/>
            <w:vAlign w:val="bottom"/>
            <w:tcBorders>
              <w:right w:val="single" w:sz="8" w:color="AAAAAA"/>
            </w:tcBorders>
            <w:vMerge w:val="continue"/>
          </w:tcPr>
          <w:p>
            <w:pPr>
              <w:spacing w:after="0"/>
              <w:rPr>
                <w:sz w:val="10"/>
                <w:szCs w:val="10"/>
                <w:color w:val="auto"/>
              </w:rPr>
            </w:pPr>
          </w:p>
        </w:tc>
        <w:tc>
          <w:tcPr>
            <w:tcW w:w="780" w:type="dxa"/>
            <w:vAlign w:val="bottom"/>
            <w:tcBorders>
              <w:right w:val="single" w:sz="8" w:color="AAAAAA"/>
            </w:tcBorders>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Orde</w:t>
            </w:r>
          </w:p>
        </w:tc>
        <w:tc>
          <w:tcPr>
            <w:tcW w:w="1020" w:type="dxa"/>
            <w:vAlign w:val="bottom"/>
            <w:tcBorders>
              <w:right w:val="single" w:sz="8" w:color="AAAAAA"/>
            </w:tcBorders>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ns &amp;</w:t>
            </w:r>
          </w:p>
        </w:tc>
        <w:tc>
          <w:tcPr>
            <w:tcW w:w="1240" w:type="dxa"/>
            <w:vAlign w:val="bottom"/>
            <w:tcBorders>
              <w:right w:val="single" w:sz="8" w:color="AAAAAA"/>
            </w:tcBorders>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Danger</w:t>
            </w:r>
          </w:p>
        </w:tc>
        <w:tc>
          <w:tcPr>
            <w:tcW w:w="1700" w:type="dxa"/>
            <w:vAlign w:val="bottom"/>
            <w:tcBorders>
              <w:right w:val="single" w:sz="8" w:color="AAAAAA"/>
            </w:tcBorders>
            <w:vMerge w:val="continue"/>
          </w:tcPr>
          <w:p>
            <w:pPr>
              <w:spacing w:after="0"/>
              <w:rPr>
                <w:sz w:val="10"/>
                <w:szCs w:val="10"/>
                <w:color w:val="auto"/>
              </w:rPr>
            </w:pPr>
          </w:p>
        </w:tc>
        <w:tc>
          <w:tcPr>
            <w:tcW w:w="1200" w:type="dxa"/>
            <w:vAlign w:val="bottom"/>
            <w:tcBorders>
              <w:right w:val="single" w:sz="8" w:color="AAAAAA"/>
            </w:tcBorders>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Fatalities</w:t>
            </w:r>
          </w:p>
        </w:tc>
        <w:tc>
          <w:tcPr>
            <w:tcW w:w="1120" w:type="dxa"/>
            <w:vAlign w:val="bottom"/>
            <w:tcBorders>
              <w:right w:val="single" w:sz="8" w:color="AAAAAA"/>
            </w:tcBorders>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Actions</w:t>
            </w:r>
          </w:p>
        </w:tc>
        <w:tc>
          <w:tcPr>
            <w:tcW w:w="900" w:type="dxa"/>
            <w:vAlign w:val="bottom"/>
            <w:tcBorders>
              <w:right w:val="single" w:sz="8" w:color="AAAAA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60" w:type="dxa"/>
            <w:vAlign w:val="bottom"/>
            <w:tcBorders>
              <w:left w:val="single" w:sz="8" w:color="AAAAAA"/>
              <w:right w:val="single" w:sz="8" w:color="AAAAAA"/>
            </w:tcBorders>
          </w:tcPr>
          <w:p>
            <w:pPr>
              <w:spacing w:after="0"/>
              <w:rPr>
                <w:sz w:val="10"/>
                <w:szCs w:val="10"/>
                <w:color w:val="auto"/>
              </w:rPr>
            </w:pPr>
          </w:p>
        </w:tc>
        <w:tc>
          <w:tcPr>
            <w:tcW w:w="900" w:type="dxa"/>
            <w:vAlign w:val="bottom"/>
            <w:tcBorders>
              <w:right w:val="single" w:sz="8" w:color="AAAAAA"/>
            </w:tcBorders>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ons</w:t>
            </w:r>
          </w:p>
        </w:tc>
        <w:tc>
          <w:tcPr>
            <w:tcW w:w="780" w:type="dxa"/>
            <w:vAlign w:val="bottom"/>
            <w:tcBorders>
              <w:right w:val="single" w:sz="8" w:color="AAAAAA"/>
            </w:tcBorders>
            <w:vMerge w:val="continue"/>
          </w:tcPr>
          <w:p>
            <w:pPr>
              <w:spacing w:after="0"/>
              <w:rPr>
                <w:sz w:val="10"/>
                <w:szCs w:val="10"/>
                <w:color w:val="auto"/>
              </w:rPr>
            </w:pPr>
          </w:p>
        </w:tc>
        <w:tc>
          <w:tcPr>
            <w:tcW w:w="1020" w:type="dxa"/>
            <w:vAlign w:val="bottom"/>
            <w:tcBorders>
              <w:right w:val="single" w:sz="8" w:color="AAAAAA"/>
            </w:tcBorders>
            <w:vMerge w:val="continue"/>
          </w:tcPr>
          <w:p>
            <w:pPr>
              <w:spacing w:after="0"/>
              <w:rPr>
                <w:sz w:val="10"/>
                <w:szCs w:val="10"/>
                <w:color w:val="auto"/>
              </w:rPr>
            </w:pPr>
          </w:p>
        </w:tc>
        <w:tc>
          <w:tcPr>
            <w:tcW w:w="1240" w:type="dxa"/>
            <w:vAlign w:val="bottom"/>
            <w:tcBorders>
              <w:right w:val="single" w:sz="8" w:color="AAAAAA"/>
            </w:tcBorders>
            <w:vMerge w:val="continue"/>
          </w:tcPr>
          <w:p>
            <w:pPr>
              <w:spacing w:after="0"/>
              <w:rPr>
                <w:sz w:val="10"/>
                <w:szCs w:val="10"/>
                <w:color w:val="auto"/>
              </w:rPr>
            </w:pPr>
          </w:p>
        </w:tc>
        <w:tc>
          <w:tcPr>
            <w:tcW w:w="1700" w:type="dxa"/>
            <w:vAlign w:val="bottom"/>
            <w:tcBorders>
              <w:right w:val="single" w:sz="8" w:color="AAAAAA"/>
            </w:tcBorders>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w:t>
            </w:r>
          </w:p>
        </w:tc>
        <w:tc>
          <w:tcPr>
            <w:tcW w:w="1200" w:type="dxa"/>
            <w:vAlign w:val="bottom"/>
            <w:tcBorders>
              <w:right w:val="single" w:sz="8" w:color="AAAAAA"/>
            </w:tcBorders>
            <w:vMerge w:val="continue"/>
          </w:tcPr>
          <w:p>
            <w:pPr>
              <w:spacing w:after="0"/>
              <w:rPr>
                <w:sz w:val="10"/>
                <w:szCs w:val="10"/>
                <w:color w:val="auto"/>
              </w:rPr>
            </w:pPr>
          </w:p>
        </w:tc>
        <w:tc>
          <w:tcPr>
            <w:tcW w:w="1120" w:type="dxa"/>
            <w:vAlign w:val="bottom"/>
            <w:tcBorders>
              <w:right w:val="single" w:sz="8" w:color="AAAAAA"/>
            </w:tcBorders>
            <w:vMerge w:val="continue"/>
          </w:tcPr>
          <w:p>
            <w:pPr>
              <w:spacing w:after="0"/>
              <w:rPr>
                <w:sz w:val="10"/>
                <w:szCs w:val="10"/>
                <w:color w:val="auto"/>
              </w:rPr>
            </w:pPr>
          </w:p>
        </w:tc>
        <w:tc>
          <w:tcPr>
            <w:tcW w:w="900" w:type="dxa"/>
            <w:vAlign w:val="bottom"/>
            <w:tcBorders>
              <w:right w:val="single" w:sz="8" w:color="AAAAAA"/>
            </w:tcBorders>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160" w:type="dxa"/>
            <w:vAlign w:val="bottom"/>
            <w:tcBorders>
              <w:left w:val="single" w:sz="8" w:color="AAAAAA"/>
              <w:right w:val="single" w:sz="8" w:color="AAAAAA"/>
            </w:tcBorders>
          </w:tcPr>
          <w:p>
            <w:pPr>
              <w:spacing w:after="0"/>
              <w:rPr>
                <w:sz w:val="14"/>
                <w:szCs w:val="14"/>
                <w:color w:val="auto"/>
              </w:rPr>
            </w:pPr>
          </w:p>
        </w:tc>
        <w:tc>
          <w:tcPr>
            <w:tcW w:w="900" w:type="dxa"/>
            <w:vAlign w:val="bottom"/>
            <w:tcBorders>
              <w:right w:val="single" w:sz="8" w:color="AAAAAA"/>
            </w:tcBorders>
            <w:vMerge w:val="continue"/>
          </w:tcPr>
          <w:p>
            <w:pPr>
              <w:spacing w:after="0"/>
              <w:rPr>
                <w:sz w:val="14"/>
                <w:szCs w:val="14"/>
                <w:color w:val="auto"/>
              </w:rPr>
            </w:pPr>
          </w:p>
        </w:tc>
        <w:tc>
          <w:tcPr>
            <w:tcW w:w="780" w:type="dxa"/>
            <w:vAlign w:val="bottom"/>
            <w:tcBorders>
              <w:right w:val="single" w:sz="8" w:color="AAAAAA"/>
            </w:tcBorders>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rs</w:t>
            </w:r>
          </w:p>
        </w:tc>
        <w:tc>
          <w:tcPr>
            <w:tcW w:w="1020" w:type="dxa"/>
            <w:vAlign w:val="bottom"/>
            <w:tcBorders>
              <w:right w:val="single" w:sz="8" w:color="AAAAAA"/>
            </w:tcBorders>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Orders</w:t>
            </w:r>
          </w:p>
        </w:tc>
        <w:tc>
          <w:tcPr>
            <w:tcW w:w="1240" w:type="dxa"/>
            <w:vAlign w:val="bottom"/>
            <w:tcBorders>
              <w:right w:val="single" w:sz="8" w:color="AAAAAA"/>
            </w:tcBorders>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Orders</w:t>
            </w:r>
          </w:p>
        </w:tc>
        <w:tc>
          <w:tcPr>
            <w:tcW w:w="1700" w:type="dxa"/>
            <w:vAlign w:val="bottom"/>
            <w:tcBorders>
              <w:right w:val="single" w:sz="8" w:color="AAAAAA"/>
            </w:tcBorders>
            <w:vMerge w:val="continue"/>
          </w:tcPr>
          <w:p>
            <w:pPr>
              <w:spacing w:after="0"/>
              <w:rPr>
                <w:sz w:val="14"/>
                <w:szCs w:val="14"/>
                <w:color w:val="auto"/>
              </w:rPr>
            </w:pPr>
          </w:p>
        </w:tc>
        <w:tc>
          <w:tcPr>
            <w:tcW w:w="1200" w:type="dxa"/>
            <w:vAlign w:val="bottom"/>
            <w:tcBorders>
              <w:right w:val="single" w:sz="8" w:color="AAAAAA"/>
            </w:tcBorders>
          </w:tcPr>
          <w:p>
            <w:pPr>
              <w:spacing w:after="0"/>
              <w:rPr>
                <w:sz w:val="14"/>
                <w:szCs w:val="14"/>
                <w:color w:val="auto"/>
              </w:rPr>
            </w:pPr>
          </w:p>
        </w:tc>
        <w:tc>
          <w:tcPr>
            <w:tcW w:w="1120" w:type="dxa"/>
            <w:vAlign w:val="bottom"/>
            <w:tcBorders>
              <w:right w:val="single" w:sz="8" w:color="AAAAAA"/>
            </w:tcBorders>
          </w:tcPr>
          <w:p>
            <w:pPr>
              <w:spacing w:after="0"/>
              <w:rPr>
                <w:sz w:val="14"/>
                <w:szCs w:val="14"/>
                <w:color w:val="auto"/>
              </w:rPr>
            </w:pPr>
          </w:p>
        </w:tc>
        <w:tc>
          <w:tcPr>
            <w:tcW w:w="900" w:type="dxa"/>
            <w:vAlign w:val="bottom"/>
            <w:tcBorders>
              <w:right w:val="single" w:sz="8" w:color="AAAAAA"/>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160" w:type="dxa"/>
            <w:vAlign w:val="bottom"/>
            <w:tcBorders>
              <w:left w:val="single" w:sz="8" w:color="AAAAAA"/>
              <w:right w:val="single" w:sz="8" w:color="AAAAAA"/>
            </w:tcBorders>
          </w:tcPr>
          <w:p>
            <w:pPr>
              <w:spacing w:after="0"/>
              <w:rPr>
                <w:sz w:val="10"/>
                <w:szCs w:val="10"/>
                <w:color w:val="auto"/>
              </w:rPr>
            </w:pPr>
          </w:p>
        </w:tc>
        <w:tc>
          <w:tcPr>
            <w:tcW w:w="900" w:type="dxa"/>
            <w:vAlign w:val="bottom"/>
            <w:tcBorders>
              <w:right w:val="single" w:sz="8" w:color="AAAAAA"/>
            </w:tcBorders>
          </w:tcPr>
          <w:p>
            <w:pPr>
              <w:spacing w:after="0"/>
              <w:rPr>
                <w:sz w:val="10"/>
                <w:szCs w:val="10"/>
                <w:color w:val="auto"/>
              </w:rPr>
            </w:pPr>
          </w:p>
        </w:tc>
        <w:tc>
          <w:tcPr>
            <w:tcW w:w="780" w:type="dxa"/>
            <w:vAlign w:val="bottom"/>
            <w:tcBorders>
              <w:right w:val="single" w:sz="8" w:color="AAAAAA"/>
            </w:tcBorders>
            <w:vMerge w:val="continue"/>
          </w:tcPr>
          <w:p>
            <w:pPr>
              <w:spacing w:after="0"/>
              <w:rPr>
                <w:sz w:val="10"/>
                <w:szCs w:val="10"/>
                <w:color w:val="auto"/>
              </w:rPr>
            </w:pPr>
          </w:p>
        </w:tc>
        <w:tc>
          <w:tcPr>
            <w:tcW w:w="1020" w:type="dxa"/>
            <w:vAlign w:val="bottom"/>
            <w:tcBorders>
              <w:right w:val="single" w:sz="8" w:color="AAAAAA"/>
            </w:tcBorders>
            <w:vMerge w:val="continue"/>
          </w:tcPr>
          <w:p>
            <w:pPr>
              <w:spacing w:after="0"/>
              <w:rPr>
                <w:sz w:val="10"/>
                <w:szCs w:val="10"/>
                <w:color w:val="auto"/>
              </w:rPr>
            </w:pPr>
          </w:p>
        </w:tc>
        <w:tc>
          <w:tcPr>
            <w:tcW w:w="1240" w:type="dxa"/>
            <w:vAlign w:val="bottom"/>
            <w:tcBorders>
              <w:right w:val="single" w:sz="8" w:color="AAAAAA"/>
            </w:tcBorders>
            <w:vMerge w:val="continue"/>
          </w:tcPr>
          <w:p>
            <w:pPr>
              <w:spacing w:after="0"/>
              <w:rPr>
                <w:sz w:val="10"/>
                <w:szCs w:val="10"/>
                <w:color w:val="auto"/>
              </w:rPr>
            </w:pPr>
          </w:p>
        </w:tc>
        <w:tc>
          <w:tcPr>
            <w:tcW w:w="1700" w:type="dxa"/>
            <w:vAlign w:val="bottom"/>
            <w:tcBorders>
              <w:right w:val="single" w:sz="8" w:color="AAAAAA"/>
            </w:tcBorders>
          </w:tcPr>
          <w:p>
            <w:pPr>
              <w:spacing w:after="0"/>
              <w:rPr>
                <w:sz w:val="10"/>
                <w:szCs w:val="10"/>
                <w:color w:val="auto"/>
              </w:rPr>
            </w:pPr>
          </w:p>
        </w:tc>
        <w:tc>
          <w:tcPr>
            <w:tcW w:w="1200" w:type="dxa"/>
            <w:vAlign w:val="bottom"/>
            <w:tcBorders>
              <w:right w:val="single" w:sz="8" w:color="AAAAAA"/>
            </w:tcBorders>
          </w:tcPr>
          <w:p>
            <w:pPr>
              <w:spacing w:after="0"/>
              <w:rPr>
                <w:sz w:val="10"/>
                <w:szCs w:val="10"/>
                <w:color w:val="auto"/>
              </w:rPr>
            </w:pPr>
          </w:p>
        </w:tc>
        <w:tc>
          <w:tcPr>
            <w:tcW w:w="1120" w:type="dxa"/>
            <w:vAlign w:val="bottom"/>
            <w:tcBorders>
              <w:right w:val="single" w:sz="8" w:color="AAAAAA"/>
            </w:tcBorders>
          </w:tcPr>
          <w:p>
            <w:pPr>
              <w:spacing w:after="0"/>
              <w:rPr>
                <w:sz w:val="10"/>
                <w:szCs w:val="10"/>
                <w:color w:val="auto"/>
              </w:rPr>
            </w:pPr>
          </w:p>
        </w:tc>
        <w:tc>
          <w:tcPr>
            <w:tcW w:w="900" w:type="dxa"/>
            <w:vAlign w:val="bottom"/>
            <w:tcBorders>
              <w:right w:val="single" w:sz="8" w:color="AAAAAA"/>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160" w:type="dxa"/>
            <w:vAlign w:val="bottom"/>
            <w:tcBorders>
              <w:left w:val="single" w:sz="8" w:color="AAAAAA"/>
              <w:bottom w:val="single" w:sz="8" w:color="AAAAAA"/>
              <w:right w:val="single" w:sz="8" w:color="AAAAAA"/>
            </w:tcBorders>
          </w:tcPr>
          <w:p>
            <w:pPr>
              <w:spacing w:after="0"/>
              <w:rPr>
                <w:sz w:val="5"/>
                <w:szCs w:val="5"/>
                <w:color w:val="auto"/>
              </w:rPr>
            </w:pPr>
          </w:p>
        </w:tc>
        <w:tc>
          <w:tcPr>
            <w:tcW w:w="900" w:type="dxa"/>
            <w:vAlign w:val="bottom"/>
            <w:tcBorders>
              <w:bottom w:val="single" w:sz="8" w:color="AAAAAA"/>
              <w:right w:val="single" w:sz="8" w:color="AAAAAA"/>
            </w:tcBorders>
          </w:tcPr>
          <w:p>
            <w:pPr>
              <w:spacing w:after="0"/>
              <w:rPr>
                <w:sz w:val="5"/>
                <w:szCs w:val="5"/>
                <w:color w:val="auto"/>
              </w:rPr>
            </w:pPr>
          </w:p>
        </w:tc>
        <w:tc>
          <w:tcPr>
            <w:tcW w:w="780" w:type="dxa"/>
            <w:vAlign w:val="bottom"/>
            <w:tcBorders>
              <w:bottom w:val="single" w:sz="8" w:color="AAAAAA"/>
              <w:right w:val="single" w:sz="8" w:color="AAAAAA"/>
            </w:tcBorders>
          </w:tcPr>
          <w:p>
            <w:pPr>
              <w:spacing w:after="0"/>
              <w:rPr>
                <w:sz w:val="5"/>
                <w:szCs w:val="5"/>
                <w:color w:val="auto"/>
              </w:rPr>
            </w:pPr>
          </w:p>
        </w:tc>
        <w:tc>
          <w:tcPr>
            <w:tcW w:w="1020" w:type="dxa"/>
            <w:vAlign w:val="bottom"/>
            <w:tcBorders>
              <w:bottom w:val="single" w:sz="8" w:color="AAAAAA"/>
              <w:right w:val="single" w:sz="8" w:color="AAAAAA"/>
            </w:tcBorders>
          </w:tcPr>
          <w:p>
            <w:pPr>
              <w:spacing w:after="0"/>
              <w:rPr>
                <w:sz w:val="5"/>
                <w:szCs w:val="5"/>
                <w:color w:val="auto"/>
              </w:rPr>
            </w:pPr>
          </w:p>
        </w:tc>
        <w:tc>
          <w:tcPr>
            <w:tcW w:w="1240" w:type="dxa"/>
            <w:vAlign w:val="bottom"/>
            <w:tcBorders>
              <w:bottom w:val="single" w:sz="8" w:color="AAAAAA"/>
              <w:right w:val="single" w:sz="8" w:color="AAAAAA"/>
            </w:tcBorders>
          </w:tcPr>
          <w:p>
            <w:pPr>
              <w:spacing w:after="0"/>
              <w:rPr>
                <w:sz w:val="5"/>
                <w:szCs w:val="5"/>
                <w:color w:val="auto"/>
              </w:rPr>
            </w:pPr>
          </w:p>
        </w:tc>
        <w:tc>
          <w:tcPr>
            <w:tcW w:w="1700" w:type="dxa"/>
            <w:vAlign w:val="bottom"/>
            <w:tcBorders>
              <w:bottom w:val="single" w:sz="8" w:color="AAAAAA"/>
              <w:right w:val="single" w:sz="8" w:color="AAAAAA"/>
            </w:tcBorders>
          </w:tcPr>
          <w:p>
            <w:pPr>
              <w:spacing w:after="0"/>
              <w:rPr>
                <w:sz w:val="5"/>
                <w:szCs w:val="5"/>
                <w:color w:val="auto"/>
              </w:rPr>
            </w:pPr>
          </w:p>
        </w:tc>
        <w:tc>
          <w:tcPr>
            <w:tcW w:w="1200" w:type="dxa"/>
            <w:vAlign w:val="bottom"/>
            <w:tcBorders>
              <w:bottom w:val="single" w:sz="8" w:color="AAAAAA"/>
              <w:right w:val="single" w:sz="8" w:color="AAAAAA"/>
            </w:tcBorders>
          </w:tcPr>
          <w:p>
            <w:pPr>
              <w:spacing w:after="0"/>
              <w:rPr>
                <w:sz w:val="5"/>
                <w:szCs w:val="5"/>
                <w:color w:val="auto"/>
              </w:rPr>
            </w:pPr>
          </w:p>
        </w:tc>
        <w:tc>
          <w:tcPr>
            <w:tcW w:w="1120" w:type="dxa"/>
            <w:vAlign w:val="bottom"/>
            <w:tcBorders>
              <w:bottom w:val="single" w:sz="8" w:color="AAAAAA"/>
              <w:right w:val="single" w:sz="8" w:color="AAAAAA"/>
            </w:tcBorders>
          </w:tcPr>
          <w:p>
            <w:pPr>
              <w:spacing w:after="0"/>
              <w:rPr>
                <w:sz w:val="5"/>
                <w:szCs w:val="5"/>
                <w:color w:val="auto"/>
              </w:rPr>
            </w:pPr>
          </w:p>
        </w:tc>
        <w:tc>
          <w:tcPr>
            <w:tcW w:w="900" w:type="dxa"/>
            <w:vAlign w:val="bottom"/>
            <w:tcBorders>
              <w:bottom w:val="single" w:sz="8" w:color="AAAAAA"/>
              <w:right w:val="single" w:sz="8" w:color="AAAAAA"/>
            </w:tcBorders>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2160" w:type="dxa"/>
            <w:vAlign w:val="bottom"/>
            <w:tcBorders>
              <w:left w:val="single" w:sz="8" w:color="AAAAAA"/>
              <w:right w:val="single" w:sz="8" w:color="AAAAAA"/>
            </w:tcBorders>
          </w:tcPr>
          <w:p>
            <w:pPr>
              <w:ind w:left="160"/>
              <w:spacing w:after="0"/>
              <w:rPr>
                <w:sz w:val="20"/>
                <w:szCs w:val="20"/>
                <w:color w:val="auto"/>
              </w:rPr>
            </w:pPr>
            <w:r>
              <w:rPr>
                <w:rFonts w:ascii="Times New Roman" w:cs="Times New Roman" w:eastAsia="Times New Roman" w:hAnsi="Times New Roman"/>
                <w:sz w:val="22"/>
                <w:szCs w:val="22"/>
                <w:color w:val="auto"/>
              </w:rPr>
              <w:t>3100059 / Arrowood</w:t>
            </w:r>
          </w:p>
        </w:tc>
        <w:tc>
          <w:tcPr>
            <w:tcW w:w="900" w:type="dxa"/>
            <w:vAlign w:val="bottom"/>
            <w:tcBorders>
              <w:right w:val="single" w:sz="8" w:color="AAAAAA"/>
            </w:tcBorders>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1</w:t>
            </w:r>
          </w:p>
        </w:tc>
        <w:tc>
          <w:tcPr>
            <w:tcW w:w="780" w:type="dxa"/>
            <w:vAlign w:val="bottom"/>
            <w:tcBorders>
              <w:right w:val="single" w:sz="8" w:color="AAAAAA"/>
            </w:tcBorders>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0</w:t>
            </w:r>
          </w:p>
        </w:tc>
        <w:tc>
          <w:tcPr>
            <w:tcW w:w="1020" w:type="dxa"/>
            <w:vAlign w:val="bottom"/>
            <w:tcBorders>
              <w:right w:val="single" w:sz="8" w:color="AAAAAA"/>
            </w:tcBorders>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0</w:t>
            </w:r>
          </w:p>
        </w:tc>
        <w:tc>
          <w:tcPr>
            <w:tcW w:w="1240" w:type="dxa"/>
            <w:vAlign w:val="bottom"/>
            <w:tcBorders>
              <w:right w:val="single" w:sz="8" w:color="AAAAAA"/>
            </w:tcBorders>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0</w:t>
            </w:r>
          </w:p>
        </w:tc>
        <w:tc>
          <w:tcPr>
            <w:tcW w:w="1700" w:type="dxa"/>
            <w:vAlign w:val="bottom"/>
            <w:tcBorders>
              <w:right w:val="single" w:sz="8" w:color="AAAAAA"/>
            </w:tcBorders>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$288</w:t>
            </w:r>
          </w:p>
        </w:tc>
        <w:tc>
          <w:tcPr>
            <w:tcW w:w="1200" w:type="dxa"/>
            <w:vAlign w:val="bottom"/>
            <w:tcBorders>
              <w:right w:val="single" w:sz="8" w:color="AAAAAA"/>
            </w:tcBorders>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0</w:t>
            </w:r>
          </w:p>
        </w:tc>
        <w:tc>
          <w:tcPr>
            <w:tcW w:w="1120" w:type="dxa"/>
            <w:vAlign w:val="bottom"/>
            <w:tcBorders>
              <w:right w:val="single" w:sz="8" w:color="AAAAAA"/>
            </w:tcBorders>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0</w:t>
            </w:r>
          </w:p>
        </w:tc>
        <w:tc>
          <w:tcPr>
            <w:tcW w:w="900" w:type="dxa"/>
            <w:vAlign w:val="bottom"/>
            <w:tcBorders>
              <w:right w:val="single" w:sz="8" w:color="AAAAAA"/>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N/A</w:t>
            </w:r>
          </w:p>
        </w:tc>
        <w:tc>
          <w:tcPr>
            <w:tcW w:w="0" w:type="dxa"/>
            <w:vAlign w:val="bottom"/>
          </w:tcPr>
          <w:p>
            <w:pPr>
              <w:spacing w:after="0"/>
              <w:rPr>
                <w:sz w:val="1"/>
                <w:szCs w:val="1"/>
                <w:color w:val="auto"/>
              </w:rPr>
            </w:pPr>
          </w:p>
        </w:tc>
      </w:tr>
      <w:tr>
        <w:trPr>
          <w:trHeight w:val="161"/>
        </w:trPr>
        <w:tc>
          <w:tcPr>
            <w:tcW w:w="2160" w:type="dxa"/>
            <w:vAlign w:val="bottom"/>
            <w:tcBorders>
              <w:left w:val="single" w:sz="8" w:color="AAAAAA"/>
              <w:right w:val="single" w:sz="8" w:color="AAAAAA"/>
            </w:tcBorders>
            <w:vMerge w:val="restart"/>
          </w:tcPr>
          <w:p>
            <w:pPr>
              <w:ind w:left="160"/>
              <w:spacing w:after="0"/>
              <w:rPr>
                <w:sz w:val="20"/>
                <w:szCs w:val="20"/>
                <w:color w:val="auto"/>
              </w:rPr>
            </w:pPr>
            <w:r>
              <w:rPr>
                <w:rFonts w:ascii="Times New Roman" w:cs="Times New Roman" w:eastAsia="Times New Roman" w:hAnsi="Times New Roman"/>
                <w:sz w:val="22"/>
                <w:szCs w:val="22"/>
                <w:color w:val="auto"/>
              </w:rPr>
              <w:t>Quarry, NC</w:t>
            </w:r>
          </w:p>
        </w:tc>
        <w:tc>
          <w:tcPr>
            <w:tcW w:w="900" w:type="dxa"/>
            <w:vAlign w:val="bottom"/>
            <w:tcBorders>
              <w:right w:val="single" w:sz="8" w:color="AAAAAA"/>
            </w:tcBorders>
            <w:vMerge w:val="continue"/>
          </w:tcPr>
          <w:p>
            <w:pPr>
              <w:spacing w:after="0"/>
              <w:rPr>
                <w:sz w:val="13"/>
                <w:szCs w:val="13"/>
                <w:color w:val="auto"/>
              </w:rPr>
            </w:pPr>
          </w:p>
        </w:tc>
        <w:tc>
          <w:tcPr>
            <w:tcW w:w="780" w:type="dxa"/>
            <w:vAlign w:val="bottom"/>
            <w:tcBorders>
              <w:right w:val="single" w:sz="8" w:color="AAAAAA"/>
            </w:tcBorders>
            <w:vMerge w:val="continue"/>
          </w:tcPr>
          <w:p>
            <w:pPr>
              <w:spacing w:after="0"/>
              <w:rPr>
                <w:sz w:val="13"/>
                <w:szCs w:val="13"/>
                <w:color w:val="auto"/>
              </w:rPr>
            </w:pPr>
          </w:p>
        </w:tc>
        <w:tc>
          <w:tcPr>
            <w:tcW w:w="1020" w:type="dxa"/>
            <w:vAlign w:val="bottom"/>
            <w:tcBorders>
              <w:right w:val="single" w:sz="8" w:color="AAAAAA"/>
            </w:tcBorders>
            <w:vMerge w:val="continue"/>
          </w:tcPr>
          <w:p>
            <w:pPr>
              <w:spacing w:after="0"/>
              <w:rPr>
                <w:sz w:val="13"/>
                <w:szCs w:val="13"/>
                <w:color w:val="auto"/>
              </w:rPr>
            </w:pPr>
          </w:p>
        </w:tc>
        <w:tc>
          <w:tcPr>
            <w:tcW w:w="1240" w:type="dxa"/>
            <w:vAlign w:val="bottom"/>
            <w:tcBorders>
              <w:right w:val="single" w:sz="8" w:color="AAAAAA"/>
            </w:tcBorders>
            <w:vMerge w:val="continue"/>
          </w:tcPr>
          <w:p>
            <w:pPr>
              <w:spacing w:after="0"/>
              <w:rPr>
                <w:sz w:val="13"/>
                <w:szCs w:val="13"/>
                <w:color w:val="auto"/>
              </w:rPr>
            </w:pPr>
          </w:p>
        </w:tc>
        <w:tc>
          <w:tcPr>
            <w:tcW w:w="1700" w:type="dxa"/>
            <w:vAlign w:val="bottom"/>
            <w:tcBorders>
              <w:right w:val="single" w:sz="8" w:color="AAAAAA"/>
            </w:tcBorders>
            <w:vMerge w:val="continue"/>
          </w:tcPr>
          <w:p>
            <w:pPr>
              <w:spacing w:after="0"/>
              <w:rPr>
                <w:sz w:val="13"/>
                <w:szCs w:val="13"/>
                <w:color w:val="auto"/>
              </w:rPr>
            </w:pPr>
          </w:p>
        </w:tc>
        <w:tc>
          <w:tcPr>
            <w:tcW w:w="1200" w:type="dxa"/>
            <w:vAlign w:val="bottom"/>
            <w:tcBorders>
              <w:right w:val="single" w:sz="8" w:color="AAAAAA"/>
            </w:tcBorders>
            <w:vMerge w:val="continue"/>
          </w:tcPr>
          <w:p>
            <w:pPr>
              <w:spacing w:after="0"/>
              <w:rPr>
                <w:sz w:val="13"/>
                <w:szCs w:val="13"/>
                <w:color w:val="auto"/>
              </w:rPr>
            </w:pPr>
          </w:p>
        </w:tc>
        <w:tc>
          <w:tcPr>
            <w:tcW w:w="1120" w:type="dxa"/>
            <w:vAlign w:val="bottom"/>
            <w:tcBorders>
              <w:right w:val="single" w:sz="8" w:color="AAAAAA"/>
            </w:tcBorders>
            <w:vMerge w:val="continue"/>
          </w:tcPr>
          <w:p>
            <w:pPr>
              <w:spacing w:after="0"/>
              <w:rPr>
                <w:sz w:val="13"/>
                <w:szCs w:val="13"/>
                <w:color w:val="auto"/>
              </w:rPr>
            </w:pPr>
          </w:p>
        </w:tc>
        <w:tc>
          <w:tcPr>
            <w:tcW w:w="900" w:type="dxa"/>
            <w:vAlign w:val="bottom"/>
            <w:tcBorders>
              <w:right w:val="single" w:sz="8" w:color="AAAAAA"/>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160" w:type="dxa"/>
            <w:vAlign w:val="bottom"/>
            <w:tcBorders>
              <w:left w:val="single" w:sz="8" w:color="AAAAAA"/>
              <w:right w:val="single" w:sz="8" w:color="AAAAAA"/>
            </w:tcBorders>
            <w:vMerge w:val="continue"/>
          </w:tcPr>
          <w:p>
            <w:pPr>
              <w:spacing w:after="0"/>
              <w:rPr>
                <w:sz w:val="10"/>
                <w:szCs w:val="10"/>
                <w:color w:val="auto"/>
              </w:rPr>
            </w:pPr>
          </w:p>
        </w:tc>
        <w:tc>
          <w:tcPr>
            <w:tcW w:w="900" w:type="dxa"/>
            <w:vAlign w:val="bottom"/>
            <w:tcBorders>
              <w:right w:val="single" w:sz="8" w:color="AAAAAA"/>
            </w:tcBorders>
          </w:tcPr>
          <w:p>
            <w:pPr>
              <w:spacing w:after="0"/>
              <w:rPr>
                <w:sz w:val="10"/>
                <w:szCs w:val="10"/>
                <w:color w:val="auto"/>
              </w:rPr>
            </w:pPr>
          </w:p>
        </w:tc>
        <w:tc>
          <w:tcPr>
            <w:tcW w:w="780" w:type="dxa"/>
            <w:vAlign w:val="bottom"/>
            <w:tcBorders>
              <w:right w:val="single" w:sz="8" w:color="AAAAAA"/>
            </w:tcBorders>
          </w:tcPr>
          <w:p>
            <w:pPr>
              <w:spacing w:after="0"/>
              <w:rPr>
                <w:sz w:val="10"/>
                <w:szCs w:val="10"/>
                <w:color w:val="auto"/>
              </w:rPr>
            </w:pPr>
          </w:p>
        </w:tc>
        <w:tc>
          <w:tcPr>
            <w:tcW w:w="1020" w:type="dxa"/>
            <w:vAlign w:val="bottom"/>
            <w:tcBorders>
              <w:right w:val="single" w:sz="8" w:color="AAAAAA"/>
            </w:tcBorders>
          </w:tcPr>
          <w:p>
            <w:pPr>
              <w:spacing w:after="0"/>
              <w:rPr>
                <w:sz w:val="10"/>
                <w:szCs w:val="10"/>
                <w:color w:val="auto"/>
              </w:rPr>
            </w:pPr>
          </w:p>
        </w:tc>
        <w:tc>
          <w:tcPr>
            <w:tcW w:w="1240" w:type="dxa"/>
            <w:vAlign w:val="bottom"/>
            <w:tcBorders>
              <w:right w:val="single" w:sz="8" w:color="AAAAAA"/>
            </w:tcBorders>
          </w:tcPr>
          <w:p>
            <w:pPr>
              <w:spacing w:after="0"/>
              <w:rPr>
                <w:sz w:val="10"/>
                <w:szCs w:val="10"/>
                <w:color w:val="auto"/>
              </w:rPr>
            </w:pPr>
          </w:p>
        </w:tc>
        <w:tc>
          <w:tcPr>
            <w:tcW w:w="1700" w:type="dxa"/>
            <w:vAlign w:val="bottom"/>
            <w:tcBorders>
              <w:right w:val="single" w:sz="8" w:color="AAAAAA"/>
            </w:tcBorders>
          </w:tcPr>
          <w:p>
            <w:pPr>
              <w:spacing w:after="0"/>
              <w:rPr>
                <w:sz w:val="10"/>
                <w:szCs w:val="10"/>
                <w:color w:val="auto"/>
              </w:rPr>
            </w:pPr>
          </w:p>
        </w:tc>
        <w:tc>
          <w:tcPr>
            <w:tcW w:w="1200" w:type="dxa"/>
            <w:vAlign w:val="bottom"/>
            <w:tcBorders>
              <w:right w:val="single" w:sz="8" w:color="AAAAAA"/>
            </w:tcBorders>
          </w:tcPr>
          <w:p>
            <w:pPr>
              <w:spacing w:after="0"/>
              <w:rPr>
                <w:sz w:val="10"/>
                <w:szCs w:val="10"/>
                <w:color w:val="auto"/>
              </w:rPr>
            </w:pPr>
          </w:p>
        </w:tc>
        <w:tc>
          <w:tcPr>
            <w:tcW w:w="1120" w:type="dxa"/>
            <w:vAlign w:val="bottom"/>
            <w:tcBorders>
              <w:right w:val="single" w:sz="8" w:color="AAAAAA"/>
            </w:tcBorders>
          </w:tcPr>
          <w:p>
            <w:pPr>
              <w:spacing w:after="0"/>
              <w:rPr>
                <w:sz w:val="10"/>
                <w:szCs w:val="10"/>
                <w:color w:val="auto"/>
              </w:rPr>
            </w:pPr>
          </w:p>
        </w:tc>
        <w:tc>
          <w:tcPr>
            <w:tcW w:w="900" w:type="dxa"/>
            <w:vAlign w:val="bottom"/>
            <w:tcBorders>
              <w:right w:val="single" w:sz="8" w:color="AAAAAA"/>
            </w:tcBorders>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160" w:type="dxa"/>
            <w:vAlign w:val="bottom"/>
            <w:tcBorders>
              <w:left w:val="single" w:sz="8" w:color="AAAAAA"/>
              <w:bottom w:val="single" w:sz="8" w:color="AAAAAA"/>
              <w:right w:val="single" w:sz="8" w:color="AAAAAA"/>
            </w:tcBorders>
          </w:tcPr>
          <w:p>
            <w:pPr>
              <w:spacing w:after="0"/>
              <w:rPr>
                <w:sz w:val="4"/>
                <w:szCs w:val="4"/>
                <w:color w:val="auto"/>
              </w:rPr>
            </w:pPr>
          </w:p>
        </w:tc>
        <w:tc>
          <w:tcPr>
            <w:tcW w:w="900" w:type="dxa"/>
            <w:vAlign w:val="bottom"/>
            <w:tcBorders>
              <w:bottom w:val="single" w:sz="8" w:color="AAAAAA"/>
              <w:right w:val="single" w:sz="8" w:color="AAAAAA"/>
            </w:tcBorders>
          </w:tcPr>
          <w:p>
            <w:pPr>
              <w:spacing w:after="0"/>
              <w:rPr>
                <w:sz w:val="4"/>
                <w:szCs w:val="4"/>
                <w:color w:val="auto"/>
              </w:rPr>
            </w:pPr>
          </w:p>
        </w:tc>
        <w:tc>
          <w:tcPr>
            <w:tcW w:w="780" w:type="dxa"/>
            <w:vAlign w:val="bottom"/>
            <w:tcBorders>
              <w:bottom w:val="single" w:sz="8" w:color="AAAAAA"/>
              <w:right w:val="single" w:sz="8" w:color="AAAAAA"/>
            </w:tcBorders>
          </w:tcPr>
          <w:p>
            <w:pPr>
              <w:spacing w:after="0"/>
              <w:rPr>
                <w:sz w:val="4"/>
                <w:szCs w:val="4"/>
                <w:color w:val="auto"/>
              </w:rPr>
            </w:pPr>
          </w:p>
        </w:tc>
        <w:tc>
          <w:tcPr>
            <w:tcW w:w="1020" w:type="dxa"/>
            <w:vAlign w:val="bottom"/>
            <w:tcBorders>
              <w:bottom w:val="single" w:sz="8" w:color="AAAAAA"/>
              <w:right w:val="single" w:sz="8" w:color="AAAAAA"/>
            </w:tcBorders>
          </w:tcPr>
          <w:p>
            <w:pPr>
              <w:spacing w:after="0"/>
              <w:rPr>
                <w:sz w:val="4"/>
                <w:szCs w:val="4"/>
                <w:color w:val="auto"/>
              </w:rPr>
            </w:pPr>
          </w:p>
        </w:tc>
        <w:tc>
          <w:tcPr>
            <w:tcW w:w="1240" w:type="dxa"/>
            <w:vAlign w:val="bottom"/>
            <w:tcBorders>
              <w:bottom w:val="single" w:sz="8" w:color="AAAAAA"/>
              <w:right w:val="single" w:sz="8" w:color="AAAAAA"/>
            </w:tcBorders>
          </w:tcPr>
          <w:p>
            <w:pPr>
              <w:spacing w:after="0"/>
              <w:rPr>
                <w:sz w:val="4"/>
                <w:szCs w:val="4"/>
                <w:color w:val="auto"/>
              </w:rPr>
            </w:pPr>
          </w:p>
        </w:tc>
        <w:tc>
          <w:tcPr>
            <w:tcW w:w="1700" w:type="dxa"/>
            <w:vAlign w:val="bottom"/>
            <w:tcBorders>
              <w:bottom w:val="single" w:sz="8" w:color="AAAAAA"/>
              <w:right w:val="single" w:sz="8" w:color="AAAAAA"/>
            </w:tcBorders>
          </w:tcPr>
          <w:p>
            <w:pPr>
              <w:spacing w:after="0"/>
              <w:rPr>
                <w:sz w:val="4"/>
                <w:szCs w:val="4"/>
                <w:color w:val="auto"/>
              </w:rPr>
            </w:pPr>
          </w:p>
        </w:tc>
        <w:tc>
          <w:tcPr>
            <w:tcW w:w="1200" w:type="dxa"/>
            <w:vAlign w:val="bottom"/>
            <w:tcBorders>
              <w:bottom w:val="single" w:sz="8" w:color="AAAAAA"/>
              <w:right w:val="single" w:sz="8" w:color="AAAAAA"/>
            </w:tcBorders>
          </w:tcPr>
          <w:p>
            <w:pPr>
              <w:spacing w:after="0"/>
              <w:rPr>
                <w:sz w:val="4"/>
                <w:szCs w:val="4"/>
                <w:color w:val="auto"/>
              </w:rPr>
            </w:pPr>
          </w:p>
        </w:tc>
        <w:tc>
          <w:tcPr>
            <w:tcW w:w="1120" w:type="dxa"/>
            <w:vAlign w:val="bottom"/>
            <w:tcBorders>
              <w:bottom w:val="single" w:sz="8" w:color="AAAAAA"/>
              <w:right w:val="single" w:sz="8" w:color="AAAAAA"/>
            </w:tcBorders>
          </w:tcPr>
          <w:p>
            <w:pPr>
              <w:spacing w:after="0"/>
              <w:rPr>
                <w:sz w:val="4"/>
                <w:szCs w:val="4"/>
                <w:color w:val="auto"/>
              </w:rPr>
            </w:pPr>
          </w:p>
        </w:tc>
        <w:tc>
          <w:tcPr>
            <w:tcW w:w="900" w:type="dxa"/>
            <w:vAlign w:val="bottom"/>
            <w:tcBorders>
              <w:bottom w:val="single" w:sz="8" w:color="AAAAAA"/>
              <w:right w:val="single" w:sz="8" w:color="AAAAAA"/>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160" w:type="dxa"/>
            <w:vAlign w:val="bottom"/>
            <w:tcBorders>
              <w:left w:val="single" w:sz="8" w:color="AAAAAA"/>
              <w:right w:val="single" w:sz="8" w:color="AAAAAA"/>
            </w:tcBorders>
          </w:tcPr>
          <w:p>
            <w:pPr>
              <w:ind w:left="160"/>
              <w:spacing w:after="0"/>
              <w:rPr>
                <w:sz w:val="20"/>
                <w:szCs w:val="20"/>
                <w:color w:val="auto"/>
              </w:rPr>
            </w:pPr>
            <w:r>
              <w:rPr>
                <w:rFonts w:ascii="Times New Roman" w:cs="Times New Roman" w:eastAsia="Times New Roman" w:hAnsi="Times New Roman"/>
                <w:sz w:val="22"/>
                <w:szCs w:val="22"/>
                <w:color w:val="auto"/>
              </w:rPr>
              <w:t>3800026 / Rock Hill</w:t>
            </w:r>
          </w:p>
        </w:tc>
        <w:tc>
          <w:tcPr>
            <w:tcW w:w="900" w:type="dxa"/>
            <w:vAlign w:val="bottom"/>
            <w:tcBorders>
              <w:right w:val="single" w:sz="8" w:color="AAAAAA"/>
            </w:tcBorders>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0</w:t>
            </w:r>
          </w:p>
        </w:tc>
        <w:tc>
          <w:tcPr>
            <w:tcW w:w="780" w:type="dxa"/>
            <w:vAlign w:val="bottom"/>
            <w:tcBorders>
              <w:right w:val="single" w:sz="8" w:color="AAAAAA"/>
            </w:tcBorders>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0</w:t>
            </w:r>
          </w:p>
        </w:tc>
        <w:tc>
          <w:tcPr>
            <w:tcW w:w="1020" w:type="dxa"/>
            <w:vAlign w:val="bottom"/>
            <w:tcBorders>
              <w:right w:val="single" w:sz="8" w:color="AAAAAA"/>
            </w:tcBorders>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0</w:t>
            </w:r>
          </w:p>
        </w:tc>
        <w:tc>
          <w:tcPr>
            <w:tcW w:w="1240" w:type="dxa"/>
            <w:vAlign w:val="bottom"/>
            <w:tcBorders>
              <w:right w:val="single" w:sz="8" w:color="AAAAAA"/>
            </w:tcBorders>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0</w:t>
            </w:r>
          </w:p>
        </w:tc>
        <w:tc>
          <w:tcPr>
            <w:tcW w:w="1700" w:type="dxa"/>
            <w:vAlign w:val="bottom"/>
            <w:tcBorders>
              <w:right w:val="single" w:sz="8" w:color="AAAAAA"/>
            </w:tcBorders>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$0</w:t>
            </w:r>
          </w:p>
        </w:tc>
        <w:tc>
          <w:tcPr>
            <w:tcW w:w="1200" w:type="dxa"/>
            <w:vAlign w:val="bottom"/>
            <w:tcBorders>
              <w:right w:val="single" w:sz="8" w:color="AAAAAA"/>
            </w:tcBorders>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0</w:t>
            </w:r>
          </w:p>
        </w:tc>
        <w:tc>
          <w:tcPr>
            <w:tcW w:w="1120" w:type="dxa"/>
            <w:vAlign w:val="bottom"/>
            <w:tcBorders>
              <w:right w:val="single" w:sz="8" w:color="AAAAAA"/>
            </w:tcBorders>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0</w:t>
            </w:r>
          </w:p>
        </w:tc>
        <w:tc>
          <w:tcPr>
            <w:tcW w:w="900" w:type="dxa"/>
            <w:vAlign w:val="bottom"/>
            <w:tcBorders>
              <w:right w:val="single" w:sz="8" w:color="AAAAAA"/>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N/A</w:t>
            </w:r>
          </w:p>
        </w:tc>
        <w:tc>
          <w:tcPr>
            <w:tcW w:w="0" w:type="dxa"/>
            <w:vAlign w:val="bottom"/>
          </w:tcPr>
          <w:p>
            <w:pPr>
              <w:spacing w:after="0"/>
              <w:rPr>
                <w:sz w:val="1"/>
                <w:szCs w:val="1"/>
                <w:color w:val="auto"/>
              </w:rPr>
            </w:pPr>
          </w:p>
        </w:tc>
      </w:tr>
      <w:tr>
        <w:trPr>
          <w:trHeight w:val="161"/>
        </w:trPr>
        <w:tc>
          <w:tcPr>
            <w:tcW w:w="2160" w:type="dxa"/>
            <w:vAlign w:val="bottom"/>
            <w:tcBorders>
              <w:left w:val="single" w:sz="8" w:color="AAAAAA"/>
              <w:right w:val="single" w:sz="8" w:color="AAAAAA"/>
            </w:tcBorders>
            <w:vMerge w:val="restart"/>
          </w:tcPr>
          <w:p>
            <w:pPr>
              <w:ind w:left="160"/>
              <w:spacing w:after="0"/>
              <w:rPr>
                <w:sz w:val="20"/>
                <w:szCs w:val="20"/>
                <w:color w:val="auto"/>
              </w:rPr>
            </w:pPr>
            <w:r>
              <w:rPr>
                <w:rFonts w:ascii="Times New Roman" w:cs="Times New Roman" w:eastAsia="Times New Roman" w:hAnsi="Times New Roman"/>
                <w:sz w:val="22"/>
                <w:szCs w:val="22"/>
                <w:color w:val="auto"/>
              </w:rPr>
              <w:t>Quarry, SC</w:t>
            </w:r>
          </w:p>
        </w:tc>
        <w:tc>
          <w:tcPr>
            <w:tcW w:w="900" w:type="dxa"/>
            <w:vAlign w:val="bottom"/>
            <w:tcBorders>
              <w:right w:val="single" w:sz="8" w:color="AAAAAA"/>
            </w:tcBorders>
            <w:vMerge w:val="continue"/>
          </w:tcPr>
          <w:p>
            <w:pPr>
              <w:spacing w:after="0"/>
              <w:rPr>
                <w:sz w:val="13"/>
                <w:szCs w:val="13"/>
                <w:color w:val="auto"/>
              </w:rPr>
            </w:pPr>
          </w:p>
        </w:tc>
        <w:tc>
          <w:tcPr>
            <w:tcW w:w="780" w:type="dxa"/>
            <w:vAlign w:val="bottom"/>
            <w:tcBorders>
              <w:right w:val="single" w:sz="8" w:color="AAAAAA"/>
            </w:tcBorders>
            <w:vMerge w:val="continue"/>
          </w:tcPr>
          <w:p>
            <w:pPr>
              <w:spacing w:after="0"/>
              <w:rPr>
                <w:sz w:val="13"/>
                <w:szCs w:val="13"/>
                <w:color w:val="auto"/>
              </w:rPr>
            </w:pPr>
          </w:p>
        </w:tc>
        <w:tc>
          <w:tcPr>
            <w:tcW w:w="1020" w:type="dxa"/>
            <w:vAlign w:val="bottom"/>
            <w:tcBorders>
              <w:right w:val="single" w:sz="8" w:color="AAAAAA"/>
            </w:tcBorders>
            <w:vMerge w:val="continue"/>
          </w:tcPr>
          <w:p>
            <w:pPr>
              <w:spacing w:after="0"/>
              <w:rPr>
                <w:sz w:val="13"/>
                <w:szCs w:val="13"/>
                <w:color w:val="auto"/>
              </w:rPr>
            </w:pPr>
          </w:p>
        </w:tc>
        <w:tc>
          <w:tcPr>
            <w:tcW w:w="1240" w:type="dxa"/>
            <w:vAlign w:val="bottom"/>
            <w:tcBorders>
              <w:right w:val="single" w:sz="8" w:color="AAAAAA"/>
            </w:tcBorders>
            <w:vMerge w:val="continue"/>
          </w:tcPr>
          <w:p>
            <w:pPr>
              <w:spacing w:after="0"/>
              <w:rPr>
                <w:sz w:val="13"/>
                <w:szCs w:val="13"/>
                <w:color w:val="auto"/>
              </w:rPr>
            </w:pPr>
          </w:p>
        </w:tc>
        <w:tc>
          <w:tcPr>
            <w:tcW w:w="1700" w:type="dxa"/>
            <w:vAlign w:val="bottom"/>
            <w:tcBorders>
              <w:right w:val="single" w:sz="8" w:color="AAAAAA"/>
            </w:tcBorders>
            <w:vMerge w:val="continue"/>
          </w:tcPr>
          <w:p>
            <w:pPr>
              <w:spacing w:after="0"/>
              <w:rPr>
                <w:sz w:val="13"/>
                <w:szCs w:val="13"/>
                <w:color w:val="auto"/>
              </w:rPr>
            </w:pPr>
          </w:p>
        </w:tc>
        <w:tc>
          <w:tcPr>
            <w:tcW w:w="1200" w:type="dxa"/>
            <w:vAlign w:val="bottom"/>
            <w:tcBorders>
              <w:right w:val="single" w:sz="8" w:color="AAAAAA"/>
            </w:tcBorders>
            <w:vMerge w:val="continue"/>
          </w:tcPr>
          <w:p>
            <w:pPr>
              <w:spacing w:after="0"/>
              <w:rPr>
                <w:sz w:val="13"/>
                <w:szCs w:val="13"/>
                <w:color w:val="auto"/>
              </w:rPr>
            </w:pPr>
          </w:p>
        </w:tc>
        <w:tc>
          <w:tcPr>
            <w:tcW w:w="1120" w:type="dxa"/>
            <w:vAlign w:val="bottom"/>
            <w:tcBorders>
              <w:right w:val="single" w:sz="8" w:color="AAAAAA"/>
            </w:tcBorders>
            <w:vMerge w:val="continue"/>
          </w:tcPr>
          <w:p>
            <w:pPr>
              <w:spacing w:after="0"/>
              <w:rPr>
                <w:sz w:val="13"/>
                <w:szCs w:val="13"/>
                <w:color w:val="auto"/>
              </w:rPr>
            </w:pPr>
          </w:p>
        </w:tc>
        <w:tc>
          <w:tcPr>
            <w:tcW w:w="900" w:type="dxa"/>
            <w:vAlign w:val="bottom"/>
            <w:tcBorders>
              <w:right w:val="single" w:sz="8" w:color="AAAAAA"/>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160" w:type="dxa"/>
            <w:vAlign w:val="bottom"/>
            <w:tcBorders>
              <w:left w:val="single" w:sz="8" w:color="AAAAAA"/>
              <w:right w:val="single" w:sz="8" w:color="AAAAAA"/>
            </w:tcBorders>
            <w:vMerge w:val="continue"/>
          </w:tcPr>
          <w:p>
            <w:pPr>
              <w:spacing w:after="0"/>
              <w:rPr>
                <w:sz w:val="10"/>
                <w:szCs w:val="10"/>
                <w:color w:val="auto"/>
              </w:rPr>
            </w:pPr>
          </w:p>
        </w:tc>
        <w:tc>
          <w:tcPr>
            <w:tcW w:w="900" w:type="dxa"/>
            <w:vAlign w:val="bottom"/>
            <w:tcBorders>
              <w:right w:val="single" w:sz="8" w:color="AAAAAA"/>
            </w:tcBorders>
          </w:tcPr>
          <w:p>
            <w:pPr>
              <w:spacing w:after="0"/>
              <w:rPr>
                <w:sz w:val="10"/>
                <w:szCs w:val="10"/>
                <w:color w:val="auto"/>
              </w:rPr>
            </w:pPr>
          </w:p>
        </w:tc>
        <w:tc>
          <w:tcPr>
            <w:tcW w:w="780" w:type="dxa"/>
            <w:vAlign w:val="bottom"/>
            <w:tcBorders>
              <w:right w:val="single" w:sz="8" w:color="AAAAAA"/>
            </w:tcBorders>
          </w:tcPr>
          <w:p>
            <w:pPr>
              <w:spacing w:after="0"/>
              <w:rPr>
                <w:sz w:val="10"/>
                <w:szCs w:val="10"/>
                <w:color w:val="auto"/>
              </w:rPr>
            </w:pPr>
          </w:p>
        </w:tc>
        <w:tc>
          <w:tcPr>
            <w:tcW w:w="1020" w:type="dxa"/>
            <w:vAlign w:val="bottom"/>
            <w:tcBorders>
              <w:right w:val="single" w:sz="8" w:color="AAAAAA"/>
            </w:tcBorders>
          </w:tcPr>
          <w:p>
            <w:pPr>
              <w:spacing w:after="0"/>
              <w:rPr>
                <w:sz w:val="10"/>
                <w:szCs w:val="10"/>
                <w:color w:val="auto"/>
              </w:rPr>
            </w:pPr>
          </w:p>
        </w:tc>
        <w:tc>
          <w:tcPr>
            <w:tcW w:w="1240" w:type="dxa"/>
            <w:vAlign w:val="bottom"/>
            <w:tcBorders>
              <w:right w:val="single" w:sz="8" w:color="AAAAAA"/>
            </w:tcBorders>
          </w:tcPr>
          <w:p>
            <w:pPr>
              <w:spacing w:after="0"/>
              <w:rPr>
                <w:sz w:val="10"/>
                <w:szCs w:val="10"/>
                <w:color w:val="auto"/>
              </w:rPr>
            </w:pPr>
          </w:p>
        </w:tc>
        <w:tc>
          <w:tcPr>
            <w:tcW w:w="1700" w:type="dxa"/>
            <w:vAlign w:val="bottom"/>
            <w:tcBorders>
              <w:right w:val="single" w:sz="8" w:color="AAAAAA"/>
            </w:tcBorders>
          </w:tcPr>
          <w:p>
            <w:pPr>
              <w:spacing w:after="0"/>
              <w:rPr>
                <w:sz w:val="10"/>
                <w:szCs w:val="10"/>
                <w:color w:val="auto"/>
              </w:rPr>
            </w:pPr>
          </w:p>
        </w:tc>
        <w:tc>
          <w:tcPr>
            <w:tcW w:w="1200" w:type="dxa"/>
            <w:vAlign w:val="bottom"/>
            <w:tcBorders>
              <w:right w:val="single" w:sz="8" w:color="AAAAAA"/>
            </w:tcBorders>
          </w:tcPr>
          <w:p>
            <w:pPr>
              <w:spacing w:after="0"/>
              <w:rPr>
                <w:sz w:val="10"/>
                <w:szCs w:val="10"/>
                <w:color w:val="auto"/>
              </w:rPr>
            </w:pPr>
          </w:p>
        </w:tc>
        <w:tc>
          <w:tcPr>
            <w:tcW w:w="1120" w:type="dxa"/>
            <w:vAlign w:val="bottom"/>
            <w:tcBorders>
              <w:right w:val="single" w:sz="8" w:color="AAAAAA"/>
            </w:tcBorders>
          </w:tcPr>
          <w:p>
            <w:pPr>
              <w:spacing w:after="0"/>
              <w:rPr>
                <w:sz w:val="10"/>
                <w:szCs w:val="10"/>
                <w:color w:val="auto"/>
              </w:rPr>
            </w:pPr>
          </w:p>
        </w:tc>
        <w:tc>
          <w:tcPr>
            <w:tcW w:w="900" w:type="dxa"/>
            <w:vAlign w:val="bottom"/>
            <w:tcBorders>
              <w:right w:val="single" w:sz="8" w:color="AAAAAA"/>
            </w:tcBorders>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160" w:type="dxa"/>
            <w:vAlign w:val="bottom"/>
            <w:tcBorders>
              <w:left w:val="single" w:sz="8" w:color="AAAAAA"/>
              <w:bottom w:val="single" w:sz="8" w:color="AAAAAA"/>
              <w:right w:val="single" w:sz="8" w:color="AAAAAA"/>
            </w:tcBorders>
          </w:tcPr>
          <w:p>
            <w:pPr>
              <w:spacing w:after="0"/>
              <w:rPr>
                <w:sz w:val="4"/>
                <w:szCs w:val="4"/>
                <w:color w:val="auto"/>
              </w:rPr>
            </w:pPr>
          </w:p>
        </w:tc>
        <w:tc>
          <w:tcPr>
            <w:tcW w:w="900" w:type="dxa"/>
            <w:vAlign w:val="bottom"/>
            <w:tcBorders>
              <w:bottom w:val="single" w:sz="8" w:color="AAAAAA"/>
              <w:right w:val="single" w:sz="8" w:color="AAAAAA"/>
            </w:tcBorders>
          </w:tcPr>
          <w:p>
            <w:pPr>
              <w:spacing w:after="0"/>
              <w:rPr>
                <w:sz w:val="4"/>
                <w:szCs w:val="4"/>
                <w:color w:val="auto"/>
              </w:rPr>
            </w:pPr>
          </w:p>
        </w:tc>
        <w:tc>
          <w:tcPr>
            <w:tcW w:w="780" w:type="dxa"/>
            <w:vAlign w:val="bottom"/>
            <w:tcBorders>
              <w:bottom w:val="single" w:sz="8" w:color="AAAAAA"/>
              <w:right w:val="single" w:sz="8" w:color="AAAAAA"/>
            </w:tcBorders>
          </w:tcPr>
          <w:p>
            <w:pPr>
              <w:spacing w:after="0"/>
              <w:rPr>
                <w:sz w:val="4"/>
                <w:szCs w:val="4"/>
                <w:color w:val="auto"/>
              </w:rPr>
            </w:pPr>
          </w:p>
        </w:tc>
        <w:tc>
          <w:tcPr>
            <w:tcW w:w="1020" w:type="dxa"/>
            <w:vAlign w:val="bottom"/>
            <w:tcBorders>
              <w:bottom w:val="single" w:sz="8" w:color="AAAAAA"/>
              <w:right w:val="single" w:sz="8" w:color="AAAAAA"/>
            </w:tcBorders>
          </w:tcPr>
          <w:p>
            <w:pPr>
              <w:spacing w:after="0"/>
              <w:rPr>
                <w:sz w:val="4"/>
                <w:szCs w:val="4"/>
                <w:color w:val="auto"/>
              </w:rPr>
            </w:pPr>
          </w:p>
        </w:tc>
        <w:tc>
          <w:tcPr>
            <w:tcW w:w="1240" w:type="dxa"/>
            <w:vAlign w:val="bottom"/>
            <w:tcBorders>
              <w:bottom w:val="single" w:sz="8" w:color="AAAAAA"/>
              <w:right w:val="single" w:sz="8" w:color="AAAAAA"/>
            </w:tcBorders>
          </w:tcPr>
          <w:p>
            <w:pPr>
              <w:spacing w:after="0"/>
              <w:rPr>
                <w:sz w:val="4"/>
                <w:szCs w:val="4"/>
                <w:color w:val="auto"/>
              </w:rPr>
            </w:pPr>
          </w:p>
        </w:tc>
        <w:tc>
          <w:tcPr>
            <w:tcW w:w="1700" w:type="dxa"/>
            <w:vAlign w:val="bottom"/>
            <w:tcBorders>
              <w:bottom w:val="single" w:sz="8" w:color="AAAAAA"/>
              <w:right w:val="single" w:sz="8" w:color="AAAAAA"/>
            </w:tcBorders>
          </w:tcPr>
          <w:p>
            <w:pPr>
              <w:spacing w:after="0"/>
              <w:rPr>
                <w:sz w:val="4"/>
                <w:szCs w:val="4"/>
                <w:color w:val="auto"/>
              </w:rPr>
            </w:pPr>
          </w:p>
        </w:tc>
        <w:tc>
          <w:tcPr>
            <w:tcW w:w="1200" w:type="dxa"/>
            <w:vAlign w:val="bottom"/>
            <w:tcBorders>
              <w:bottom w:val="single" w:sz="8" w:color="AAAAAA"/>
              <w:right w:val="single" w:sz="8" w:color="AAAAAA"/>
            </w:tcBorders>
          </w:tcPr>
          <w:p>
            <w:pPr>
              <w:spacing w:after="0"/>
              <w:rPr>
                <w:sz w:val="4"/>
                <w:szCs w:val="4"/>
                <w:color w:val="auto"/>
              </w:rPr>
            </w:pPr>
          </w:p>
        </w:tc>
        <w:tc>
          <w:tcPr>
            <w:tcW w:w="1120" w:type="dxa"/>
            <w:vAlign w:val="bottom"/>
            <w:tcBorders>
              <w:bottom w:val="single" w:sz="8" w:color="AAAAAA"/>
              <w:right w:val="single" w:sz="8" w:color="AAAAAA"/>
            </w:tcBorders>
          </w:tcPr>
          <w:p>
            <w:pPr>
              <w:spacing w:after="0"/>
              <w:rPr>
                <w:sz w:val="4"/>
                <w:szCs w:val="4"/>
                <w:color w:val="auto"/>
              </w:rPr>
            </w:pPr>
          </w:p>
        </w:tc>
        <w:tc>
          <w:tcPr>
            <w:tcW w:w="900" w:type="dxa"/>
            <w:vAlign w:val="bottom"/>
            <w:tcBorders>
              <w:bottom w:val="single" w:sz="8" w:color="AAAAAA"/>
              <w:right w:val="single" w:sz="8" w:color="AAAAAA"/>
            </w:tcBorders>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1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b w:val="1"/>
                <w:bCs w:val="1"/>
                <w:color w:val="auto"/>
              </w:rPr>
              <w:t>SUBTOTAL —</w:t>
            </w:r>
          </w:p>
        </w:tc>
        <w:tc>
          <w:tcPr>
            <w:tcW w:w="90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1240" w:type="dxa"/>
            <w:vAlign w:val="bottom"/>
            <w:tcBorders>
              <w:right w:val="single" w:sz="8" w:color="auto"/>
            </w:tcBorders>
          </w:tcPr>
          <w:p>
            <w:pPr>
              <w:spacing w:after="0"/>
              <w:rPr>
                <w:sz w:val="23"/>
                <w:szCs w:val="23"/>
                <w:color w:val="auto"/>
              </w:rPr>
            </w:pPr>
          </w:p>
        </w:tc>
        <w:tc>
          <w:tcPr>
            <w:tcW w:w="1700" w:type="dxa"/>
            <w:vAlign w:val="bottom"/>
            <w:tcBorders>
              <w:right w:val="single" w:sz="8" w:color="auto"/>
            </w:tcBorders>
          </w:tcPr>
          <w:p>
            <w:pPr>
              <w:spacing w:after="0"/>
              <w:rPr>
                <w:sz w:val="23"/>
                <w:szCs w:val="23"/>
                <w:color w:val="auto"/>
              </w:rPr>
            </w:pPr>
          </w:p>
        </w:tc>
        <w:tc>
          <w:tcPr>
            <w:tcW w:w="1200" w:type="dxa"/>
            <w:vAlign w:val="bottom"/>
            <w:tcBorders>
              <w:right w:val="single" w:sz="8" w:color="auto"/>
            </w:tcBorders>
          </w:tcPr>
          <w:p>
            <w:pPr>
              <w:spacing w:after="0"/>
              <w:rPr>
                <w:sz w:val="23"/>
                <w:szCs w:val="23"/>
                <w:color w:val="auto"/>
              </w:rPr>
            </w:pPr>
          </w:p>
        </w:tc>
        <w:tc>
          <w:tcPr>
            <w:tcW w:w="1120" w:type="dxa"/>
            <w:vAlign w:val="bottom"/>
            <w:tcBorders>
              <w:right w:val="single" w:sz="8" w:color="auto"/>
            </w:tcBorders>
          </w:tcPr>
          <w:p>
            <w:pPr>
              <w:spacing w:after="0"/>
              <w:rPr>
                <w:sz w:val="23"/>
                <w:szCs w:val="23"/>
                <w:color w:val="auto"/>
              </w:rPr>
            </w:pPr>
          </w:p>
        </w:tc>
        <w:tc>
          <w:tcPr>
            <w:tcW w:w="9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160" w:type="dxa"/>
            <w:vAlign w:val="bottom"/>
            <w:tcBorders>
              <w:left w:val="single" w:sz="8" w:color="auto"/>
              <w:right w:val="single" w:sz="8" w:color="auto"/>
            </w:tcBorders>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Contractor ID</w:t>
            </w:r>
          </w:p>
        </w:tc>
        <w:tc>
          <w:tcPr>
            <w:tcW w:w="900" w:type="dxa"/>
            <w:vAlign w:val="bottom"/>
            <w:tcBorders>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1</w:t>
            </w:r>
          </w:p>
        </w:tc>
        <w:tc>
          <w:tcPr>
            <w:tcW w:w="780" w:type="dxa"/>
            <w:vAlign w:val="bottom"/>
            <w:tcBorders>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0</w:t>
            </w:r>
          </w:p>
        </w:tc>
        <w:tc>
          <w:tcPr>
            <w:tcW w:w="1020" w:type="dxa"/>
            <w:vAlign w:val="bottom"/>
            <w:tcBorders>
              <w:right w:val="single" w:sz="8" w:color="auto"/>
            </w:tcBorders>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0</w:t>
            </w:r>
          </w:p>
        </w:tc>
        <w:tc>
          <w:tcPr>
            <w:tcW w:w="1240" w:type="dxa"/>
            <w:vAlign w:val="bottom"/>
            <w:tcBorders>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0</w:t>
            </w:r>
          </w:p>
        </w:tc>
        <w:tc>
          <w:tcPr>
            <w:tcW w:w="1700" w:type="dxa"/>
            <w:vAlign w:val="bottom"/>
            <w:tcBorders>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$288</w:t>
            </w:r>
          </w:p>
        </w:tc>
        <w:tc>
          <w:tcPr>
            <w:tcW w:w="1200" w:type="dxa"/>
            <w:vAlign w:val="bottom"/>
            <w:tcBorders>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0</w:t>
            </w:r>
          </w:p>
        </w:tc>
        <w:tc>
          <w:tcPr>
            <w:tcW w:w="1120" w:type="dxa"/>
            <w:vAlign w:val="bottom"/>
            <w:tcBorders>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0</w:t>
            </w:r>
          </w:p>
        </w:tc>
        <w:tc>
          <w:tcPr>
            <w:tcW w:w="900" w:type="dxa"/>
            <w:vAlign w:val="bottom"/>
            <w:tcBorders>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N/A</w:t>
            </w:r>
          </w:p>
        </w:tc>
        <w:tc>
          <w:tcPr>
            <w:tcW w:w="0" w:type="dxa"/>
            <w:vAlign w:val="bottom"/>
          </w:tcPr>
          <w:p>
            <w:pPr>
              <w:spacing w:after="0"/>
              <w:rPr>
                <w:sz w:val="1"/>
                <w:szCs w:val="1"/>
                <w:color w:val="auto"/>
              </w:rPr>
            </w:pPr>
          </w:p>
        </w:tc>
      </w:tr>
      <w:tr>
        <w:trPr>
          <w:trHeight w:val="286"/>
        </w:trPr>
        <w:tc>
          <w:tcPr>
            <w:tcW w:w="21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b w:val="1"/>
                <w:bCs w:val="1"/>
                <w:color w:val="auto"/>
              </w:rPr>
              <w:t>C5080</w:t>
            </w:r>
          </w:p>
        </w:tc>
        <w:tc>
          <w:tcPr>
            <w:tcW w:w="9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216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MSHA Contractor ID: C9141</w:t>
      </w:r>
    </w:p>
    <w:p>
      <w:pPr>
        <w:spacing w:after="0" w:line="23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21"/>
          <w:szCs w:val="21"/>
          <w:color w:val="auto"/>
        </w:rPr>
        <w:t>During the quarter ended March 31, 2026 the Company performed no drilling or blasting services under MSHA Contractor ID C9141 at any location subject to MSHA jurisdiction under the Federal Mine Safety and Health Act of 1977. Accordingly, no mine safety data is required to be disclosed pursuant to Section 1503 of the Dodd-Frank Act for this reporting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58" w:name="page59"/>
    <w:bookmarkEnd w:id="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
      <w:numFmt w:val="bullet"/>
      <w:start w:val="1"/>
    </w:lvl>
    <w:lvl w:ilvl="1">
      <w:lvlJc w:val="left"/>
      <w:lvlText w:val="%2"/>
      <w:numFmt w:val="decimal"/>
      <w:start w:val="104"/>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jpeg"/><Relationship Id="rId258" Type="http://schemas.openxmlformats.org/officeDocument/2006/relationships/image" Target="media/image249.png"/><Relationship Id="rId259" Type="http://schemas.openxmlformats.org/officeDocument/2006/relationships/image" Target="media/image250.jpe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47" Type="http://schemas.openxmlformats.org/officeDocument/2006/relationships/hyperlink" Target="https://www.sec.gov/Archives/edgar/data/0002079999/000121390026018087/ea027724801ex2-1_cardinal.htm" TargetMode="External"/><Relationship Id="rId248" Type="http://schemas.openxmlformats.org/officeDocument/2006/relationships/hyperlink" Target="https://www.sec.gov/Archives/edgar/data/0002079999/000121390026018087/ea027724801ex10-5_cardin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2026-05-13T15:48:49Z</dcterms:created>
  <dcterms:modified xsi:type="dcterms:W3CDTF">2026-05-13T15:48:49Z</dcterms:modified>
</cp:coreProperties>
</file>