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Zelman Ivy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CARDINAL INFRASTRUCTURE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 SIX FORKS ROAD,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Cardinal Infrastructure Group Inc.</w:t>
              </w:r>
            </w:hyperlink>
            <w:r>
              <w:rPr/>
              <w:t xml:space="preserve"> [ </w:t>
            </w:r>
            <w:r>
              <w:rPr>
                <w:rFonts w:ascii="Times;serif" w:hAnsi="Times;serif"/>
                <w:color w:val="0000FF"/>
                <w:sz w:val="24"/>
                <w:shd w:fill="FFFFFF" w:val="clear"/>
              </w:rPr>
              <w:t>CDNL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12,647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39.61</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32,891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$39.45 to $39.81, inclusive. The reporting person hereby undertakes to provide to Cardinal Infrastructure Group Inc., any security holder of Cardinal Infrastructure Group Inc., or the staff of the Securities and Exchange Commission, upon request, full information regarding the number of shares purchased at each separate price within the ranges set forth in footnote (1) of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Tiffany Gidley,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646" TargetMode="External"/><Relationship Id="rId5" Type="http://schemas.openxmlformats.org/officeDocument/2006/relationships/hyperlink" Target="http://www.sec.gov/cgi-bin/browse-edgar?action=getcompany&amp;CIK=0002079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3548</Characters>
  <CharactersWithSpaces>4132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