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dnl-20261001.htm"/>
      <w:bookmarkStart w:id="1" w:name="kscdnl202610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1906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66750"/>
                    </a:xfrm>
                    <a:prstGeom prst="rect">
                      <a:avLst/>
                    </a:prstGeom>
                  </pic:spPr>
                </pic:pic>
              </a:graphicData>
            </a:graphic>
          </wp:inline>
        </w:drawing>
      </w:r>
    </w:p>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Cardinal Infrastructure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001-43004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39-3180206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E. Six Forks Road,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Raleigh,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27609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919</w:t>
            </w:r>
            <w:r>
              <w:rPr>
                <w:rFonts w:ascii="Times New Roman" w:hAnsi="Times New Roman"/>
                <w:color w:val="000000"/>
                <w:sz w:val="20"/>
              </w:rPr>
              <w:t xml:space="preserve"> </w:t>
            </w:r>
            <w:r>
              <w:rPr>
                <w:rFonts w:ascii="Times New Roman" w:hAnsi="Times New Roman"/>
                <w:b/>
                <w:color w:val="000000"/>
                <w:sz w:val="20"/>
              </w:rPr>
              <w:t>324-1964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95" w:type="dxa"/>
        <w:jc w:val="left"/>
        <w:tblInd w:w="0" w:type="dxa"/>
        <w:tblLayout w:type="fixed"/>
        <w:tblCellMar>
          <w:top w:w="28" w:type="dxa"/>
          <w:left w:w="28" w:type="dxa"/>
          <w:bottom w:w="28" w:type="dxa"/>
          <w:right w:w="28" w:type="dxa"/>
        </w:tblCellMar>
      </w:tblPr>
      <w:tblGrid>
        <w:gridCol w:w="3631"/>
        <w:gridCol w:w="146"/>
        <w:gridCol w:w="946"/>
        <w:gridCol w:w="146"/>
        <w:gridCol w:w="382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CDNL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3.02</w:t>
      </w:r>
      <w:r>
        <w:rPr>
          <w:rFonts w:ascii="Times New Roman" w:hAnsi="Times New Roman"/>
          <w:color w:val="000000"/>
          <w:sz w:val="20"/>
        </w:rPr>
        <w:t xml:space="preserve"> </w:t>
      </w: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2026 (the “Closing Date”), Cardinal Infrastructure Group Inc., a Delaware corporation (the “Company”), consummated its acquisition (the “Acquisition”) of Allied Paving Contractors, Inc. (“Allied Paving”). The Company paid approximately $115.0 million as consideration for the Acquisition, which consisted of (i) an aggregate of approximately $88.9 of cash and (ii) 1,006,796 shares of the Company’s Class A Common Stock, par value $0.0001 per share (the “Shares”). The consideration is subject to customary post-closing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offer and sale of the Shares were made in reliance on the exemption afforded by Section 4(a)(2) of the Securities Act of 1933, as amended (the “Securities Act”) and corresponding provisions of state securities or “blue sky” laws. The Shares were not registered under the Securities Act or any state securities laws and may not be reoffered or resold in the United States absent registration with the Securities and Exchange Commission or an applicable exemption from the registration requirements. The issuance and sale of the Shares did not involve a public offering and were made without general solicitation or general advertising. In addition, each of the recipients of the Shares made representations and warranties to the Company regarding, among other things, as to their status as an accredited investor and investment intent.</w:t>
      </w:r>
    </w:p>
    <w:p>
      <w:pPr>
        <w:pStyle w:val="TextBody"/>
        <w:bidi w:val="0"/>
        <w:jc w:val="left"/>
        <w:rPr>
          <w:rFonts w:ascii="Times New Roman" w:hAnsi="Times New Roman"/>
          <w:sz w:val="20"/>
        </w:rPr>
      </w:pPr>
      <w:r>
        <w:rPr>
          <w:rFonts w:ascii="Times New Roman" w:hAnsi="Times New Roman"/>
          <w:b/>
          <w:color w:val="000000"/>
          <w:sz w:val="20"/>
        </w:rPr>
        <w:t>Item 7.01</w:t>
      </w:r>
      <w:r>
        <w:rPr>
          <w:rFonts w:ascii="Times New Roman" w:hAnsi="Times New Roman"/>
          <w:color w:val="000000"/>
          <w:sz w:val="20"/>
        </w:rPr>
        <w:t xml:space="preserve"> </w:t>
      </w:r>
      <w:r>
        <w:rPr>
          <w:rFonts w:ascii="Times New Roman" w:hAnsi="Times New Roman"/>
          <w:b/>
          <w:color w:val="000000"/>
          <w:sz w:val="20"/>
        </w:rPr>
        <w:t>Regulation FD Disclosure.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October 1, 2026, the Company issued a press release announcing the completion of the acquisition of Allied Paving. A copy of the press release is furnished with this Current Report on Form 8-K as Exhibit 99.1 and incorporated by reference herein.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7.01 shall not be deemed “filed” for purposes of Section 18 of the Exchange Act or otherwise subject to the liabilities of that section, nor shall it be deemed incorporated by reference in any filing under the Securities Act or the Securities Exchange Act of 1934, as amended, except as expressly set forth by specific reference in such a filing.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Exhibits</w:t>
      </w:r>
      <w:r>
        <w:rPr>
          <w:rFonts w:ascii="Times New Roman" w:hAnsi="Times New Roman"/>
          <w:color w:val="000000"/>
          <w:sz w:val="20"/>
        </w:rPr>
        <w:t xml:space="preserve"> </w:t>
      </w:r>
    </w:p>
    <w:tbl>
      <w:tblPr>
        <w:tblW w:w="7476" w:type="dxa"/>
        <w:jc w:val="left"/>
        <w:tblInd w:w="0" w:type="dxa"/>
        <w:tblLayout w:type="fixed"/>
        <w:tblCellMar>
          <w:top w:w="28" w:type="dxa"/>
          <w:left w:w="28" w:type="dxa"/>
          <w:bottom w:w="28" w:type="dxa"/>
          <w:right w:w="28" w:type="dxa"/>
        </w:tblCellMar>
      </w:tblPr>
      <w:tblGrid>
        <w:gridCol w:w="766"/>
        <w:gridCol w:w="109"/>
        <w:gridCol w:w="6601"/>
      </w:tblGrid>
      <w:tr>
        <w:trPr/>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Exhibit</w:t>
              <w:br/>
              <w:t>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ind w:left="0" w:right="0" w:hanging="9"/>
              <w:jc w:val="center"/>
              <w:rPr>
                <w:rFonts w:ascii="Times New Roman" w:hAnsi="Times New Roman"/>
                <w:color w:val="000000"/>
                <w:sz w:val="20"/>
              </w:rPr>
            </w:pPr>
            <w:r>
              <w:rPr>
                <w:rFonts w:ascii="Times New Roman" w:hAnsi="Times New Roman"/>
                <w:color w:val="000000"/>
                <w:sz w:val="20"/>
              </w:rPr>
              <w:t>Description</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hanging="9"/>
              <w:jc w:val="right"/>
              <w:rPr>
                <w:rFonts w:ascii="Times New Roman" w:hAnsi="Times New Roman"/>
                <w:color w:val="000000"/>
                <w:sz w:val="20"/>
              </w:rPr>
            </w:pPr>
            <w:r>
              <w:rPr>
                <w:rFonts w:ascii="Times New Roman" w:hAnsi="Times New Roman"/>
                <w:color w:val="000000"/>
                <w:sz w:val="20"/>
              </w:rPr>
              <w:t xml:space="preserve">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120"/>
              <w:ind w:left="0" w:right="0" w:hanging="9"/>
              <w:jc w:val="both"/>
              <w:rPr/>
            </w:pPr>
            <w:hyperlink w:anchor="cdnl-ex99_1.htm">
              <w:r>
                <w:rPr>
                  <w:rStyle w:val="InternetLink"/>
                  <w:rFonts w:ascii="Times New Roman" w:hAnsi="Times New Roman"/>
                  <w:color w:val="0000FF"/>
                  <w:sz w:val="20"/>
                  <w:u w:val="single"/>
                </w:rPr>
                <w:t>Press Release, Dated October 1, 2026</w:t>
              </w:r>
            </w:hyperlink>
          </w:p>
        </w:tc>
      </w:tr>
      <w:tr>
        <w:trPr/>
        <w:tc>
          <w:tcPr>
            <w:tcW w:w="766" w:type="dxa"/>
            <w:tcBorders/>
            <w:tcMar>
              <w:top w:w="0" w:type="dxa"/>
              <w:left w:w="0" w:type="dxa"/>
              <w:bottom w:w="0" w:type="dxa"/>
              <w:right w:w="0" w:type="dxa"/>
            </w:tcMar>
            <w:vAlign w:val="center"/>
          </w:tcPr>
          <w:p>
            <w:pPr>
              <w:pStyle w:val="TableContents"/>
              <w:bidi w:val="0"/>
              <w:spacing w:before="0" w:after="283"/>
              <w:ind w:left="0" w:right="0" w:hanging="9"/>
              <w:jc w:val="righ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16"/>
        </w:rPr>
      </w:pPr>
      <w:r>
        <w:rPr>
          <w:rFonts w:ascii="Times New Roman" w:hAnsi="Times New Roman"/>
          <w:color w:val="000000"/>
          <w:sz w:val="16"/>
        </w:rPr>
        <w:t xml:space="preserve">______________________ </w:t>
      </w:r>
    </w:p>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89" w:type="dxa"/>
        <w:jc w:val="left"/>
        <w:tblInd w:w="0" w:type="dxa"/>
        <w:tblLayout w:type="fixed"/>
        <w:tblCellMar>
          <w:top w:w="28" w:type="dxa"/>
          <w:left w:w="28" w:type="dxa"/>
          <w:bottom w:w="28" w:type="dxa"/>
          <w:right w:w="28" w:type="dxa"/>
        </w:tblCellMar>
      </w:tblPr>
      <w:tblGrid>
        <w:gridCol w:w="556"/>
        <w:gridCol w:w="1411"/>
        <w:gridCol w:w="451"/>
        <w:gridCol w:w="417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CARDINAL INFRASTRUCTURE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Rowe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Mike Rowe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dnl-ex99_1.htm"/>
      <w:bookmarkStart w:id="3" w:name="kscdnlex99_1"/>
      <w:bookmarkEnd w:id="2"/>
      <w:bookmarkEnd w:id="3"/>
      <w:r>
        <w:rPr/>
        <w:t> </w:t>
      </w:r>
      <w:r>
        <w:br w:type="page"/>
      </w:r>
    </w:p>
    <w:p>
      <w:pPr>
        <w:pStyle w:val="TextBody"/>
        <w:bidi w:val="0"/>
        <w:jc w:val="left"/>
        <w:rPr/>
      </w:pPr>
      <w:r>
        <w:rPr/>
        <w:t> </w:t>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Cardinal Infrastructure Group, Inc., Announces Closing of Allied Paving Contractors Acquisition</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October 1, 2026</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Raleigh, North Carolina – October 1, 2026 – Cardinal Infrastructure Group, Inc., (NASDAQ: CDNL) (“Cardinal” or “the Company”) announced today the closing of its acquisition of Allied Paving Contractors. The acquisition expands Cardinal's self-performing capabilities in the Atlanta market. Allied generated approximately $100 million in revenue on a standalone basis. A portion of that volume will be performed on Cardinal projects and therefore reflected in margin rather than consolidated revenue.</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We’re excited to add Allied’s experienced paving crews to our solutions in Northern Georgia,” said Benji Wood, Chief Operating Officer at Cardinal. “These enhanced capabilities allow us to sequence paving work directly behind our grading and site development teams, shorten project timelines and expand our existing self-perform capabilities to this market. Allied is one of the best in the business and we’re thrilled to bring their customer value proposition to our clients in the Atlanta market.”</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 xml:space="preserve">John McLean, CEO of Allied, will join the Cardinal leadership team in managing paving operations across Georgia. This acquisition aligns with Cardinal’s strategy of targeting founder-led companies.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Cardinal</w:t>
      </w:r>
    </w:p>
    <w:p>
      <w:pPr>
        <w:pStyle w:val="TextBody"/>
        <w:bidi w:val="0"/>
        <w:jc w:val="left"/>
        <w:rPr>
          <w:rFonts w:ascii="sans-serif" w:hAnsi="sans-serif"/>
          <w:color w:val="000000"/>
          <w:sz w:val="24"/>
        </w:rPr>
      </w:pPr>
      <w:r>
        <w:rPr>
          <w:rFonts w:ascii="sans-serif" w:hAnsi="sans-serif"/>
          <w:color w:val="000000"/>
          <w:sz w:val="24"/>
        </w:rPr>
        <w:t xml:space="preserve">Cardinal Infrastructure Group, Inc., (NASDAQ: CDNL) delivers its suite of comprehensive infrastructure services that support the planning, preparation, installation and development of residential, commercial, industrial and municipal infrastructure projects through wholly owned, market leading subsidiaries. Cardinal’s operations leverage in-house, highly skilled teams and equipment fleets to deliver wet utility installations (water, sewer, and stormwater systems), as well as site clearing, grading, erosion control, drilling and blasting, paving, and other related site services across the Southeast. Cardinal's relationship-based approach is grounded in operational discipline, market expansion, and a commitment to integrity from the ground up. </w:t>
      </w:r>
    </w:p>
    <w:p>
      <w:pPr>
        <w:pStyle w:val="TextBody"/>
        <w:bidi w:val="0"/>
        <w:jc w:val="left"/>
        <w:rPr>
          <w:rFonts w:ascii="sans-serif" w:hAnsi="sans-serif"/>
          <w:sz w:val="24"/>
        </w:rPr>
      </w:pPr>
      <w:r>
        <w:rPr>
          <w:rFonts w:ascii="sans-serif" w:hAnsi="sans-serif"/>
          <w:b/>
          <w:color w:val="000000"/>
          <w:sz w:val="24"/>
        </w:rPr>
        <w:t>Forward-Looking Statements</w:t>
      </w:r>
      <w:r>
        <w:rPr>
          <w:rFonts w:ascii="sans-serif" w:hAnsi="sans-serif"/>
          <w:color w:val="000000"/>
          <w:sz w:val="24"/>
        </w:rPr>
        <w:t xml:space="preserve"> </w:t>
        <w:br/>
        <w:t xml:space="preserve">This press release contains forward-looking statements within the meaning of the Private Securities Litigation Reform Act of 1995, including statements about the Company's future performance. Statements that are predictive in nature, that depend upon or refer to future events or conditions or that include the words "may," "could," "plan," "project," "budget," "predict," "pursue," "target," "seek," "objective," "believe," "expect," "anticipate," "intend," "estimate," "will," and other expressions that are predictions of or indicate future events and trends and that do not relate to historical matters identify forward-looking statements. These statements involve risks and uncertainties and Cardinal's actual results could differ materially from the results expressed or implied by such forward-looking statements. The potential risks, uncertainties and other factors that could cause actual results to differ from those expressed by the forward-looking statements in this press release include, but are not limited to, difficulty in sustaining rapid revenue growth, which may place significant demands on Cardinal's administrative, operational and financial resources; fluctuations in Cardinal's revenue and the concentration of Cardinal's business in the Southeastern United States; Cardinal's ability to integrate recent acquisitions and achieve anticipated benefits and synergies; expectations regarding backlog and Cardinal's ability to secure future contracts; expectations regarding demand in the markets that Cardinal serves and in general. Cardinal has based these forward-looking statements largely on its current expectations and projections regarding future events and trends that it believes may affect its business, financial condition and results of operations. The outcome of the events described in these forward-looking statements is subject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to risks, uncertainties and other factors described in the section entitled "Risk Factors" in Cardinal's Annual Report on Form 10-K for the year ended December 31, 2025 (the "Annual Report"), and elsewhere in the Annual Report. Accordingly, you should not rely upon forward-looking statements as predictions of future events. Cardinal cannot assure you that the results, events and circumstances reflected in the forward-looking statements will be achieved or occur, and actual results, events or circumstances could differ materially from those projected in the forward-looking statements. Although forward-looking statements reflect the good faith beliefs of Cardinal's management at the time they are made, forward-looking statements involve known and unknown risks, uncertainties and other factors which may cause actual results, performance or achievements to differ materially from anticipated future results, performance or achievements expressed or implied by such forward-looking statements. Cardinal undertakes no obligation to publicly update or revise any forward-looking statement, whether as a result of new information, future events, changed circumstances or otherwise, unless required by law. These cautionary statements qualify all forward-looking statements attributable to Cardinal or persons acting on its behalf.</w:t>
      </w:r>
    </w:p>
    <w:p>
      <w:pPr>
        <w:pStyle w:val="TextBody"/>
        <w:bidi w:val="0"/>
        <w:jc w:val="left"/>
        <w:rPr/>
      </w:pPr>
      <w:r>
        <w:rPr/>
        <w:t> </w:t>
      </w:r>
    </w:p>
    <w:p>
      <w:pPr>
        <w:pStyle w:val="TextBody"/>
        <w:bidi w:val="0"/>
        <w:jc w:val="left"/>
        <w:rPr>
          <w:rFonts w:ascii="sans-serif" w:hAnsi="sans-serif"/>
          <w:sz w:val="22"/>
        </w:rPr>
      </w:pPr>
      <w:r>
        <w:rPr>
          <w:rFonts w:ascii="sans-serif" w:hAnsi="sans-serif"/>
          <w:b/>
          <w:color w:val="000000"/>
          <w:sz w:val="24"/>
        </w:rPr>
        <w:t>Company</w:t>
      </w:r>
      <w:r>
        <w:rPr>
          <w:rFonts w:ascii="sans-serif" w:hAnsi="sans-serif"/>
          <w:color w:val="000000"/>
          <w:sz w:val="22"/>
        </w:rPr>
        <w:t xml:space="preserve"> </w:t>
      </w:r>
      <w:r>
        <w:rPr>
          <w:rFonts w:ascii="sans-serif" w:hAnsi="sans-serif"/>
          <w:b/>
          <w:color w:val="000000"/>
          <w:sz w:val="22"/>
        </w:rPr>
        <w:t>Contact:</w:t>
      </w:r>
    </w:p>
    <w:p>
      <w:pPr>
        <w:pStyle w:val="TextBody"/>
        <w:bidi w:val="0"/>
        <w:jc w:val="left"/>
        <w:rPr>
          <w:rFonts w:ascii="sans-serif" w:hAnsi="sans-serif"/>
          <w:color w:val="000000"/>
          <w:sz w:val="24"/>
        </w:rPr>
      </w:pPr>
      <w:r>
        <w:rPr>
          <w:rFonts w:ascii="sans-serif" w:hAnsi="sans-serif"/>
          <w:color w:val="000000"/>
          <w:sz w:val="24"/>
        </w:rPr>
        <w:t>Cardinal Infrastructure Group, Inc.</w:t>
      </w:r>
    </w:p>
    <w:p>
      <w:pPr>
        <w:pStyle w:val="TextBody"/>
        <w:bidi w:val="0"/>
        <w:jc w:val="left"/>
        <w:rPr>
          <w:rFonts w:ascii="sans-serif" w:hAnsi="sans-serif"/>
          <w:color w:val="000000"/>
          <w:sz w:val="24"/>
        </w:rPr>
      </w:pPr>
      <w:r>
        <w:rPr>
          <w:rFonts w:ascii="sans-serif" w:hAnsi="sans-serif"/>
          <w:color w:val="000000"/>
          <w:sz w:val="24"/>
        </w:rPr>
        <w:t>Mike Rowe, CFO</w:t>
      </w:r>
    </w:p>
    <w:p>
      <w:pPr>
        <w:pStyle w:val="TextBody"/>
        <w:bidi w:val="0"/>
        <w:jc w:val="left"/>
        <w:rPr>
          <w:rFonts w:ascii="sans-serif" w:hAnsi="sans-serif"/>
          <w:color w:val="000000"/>
          <w:sz w:val="24"/>
        </w:rPr>
      </w:pPr>
      <w:r>
        <w:rPr>
          <w:rFonts w:ascii="sans-serif" w:hAnsi="sans-serif"/>
          <w:color w:val="000000"/>
          <w:sz w:val="24"/>
        </w:rPr>
        <w:t>919-268-6386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1435</Words>
  <Characters>8556</Characters>
  <CharactersWithSpaces>9986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