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636905</wp:posOffset>
            </wp:positionV>
            <wp:extent cx="1071880"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188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Cardinal Infrastructure Group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001-43004</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39-3180206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100 E. Six Forks Road, #300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Raleigh, North Carolina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27609</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919 324-1964</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$0.0001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CDNL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00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On June 5, 2026, Cardinal Infrastructure Group Inc. (the “Company”) held its 2026 Annual Meeting of Stockholders (the “Annual Meeting”). At the Annual Meeting, the Company’s stockholders voted on two proposals presented at the Annual Meeting, which are described below and in further detail in the Company’s Definitive Proxy Statement on Schedule 14A, filed with the Securities and Exchange Commission (the “SEC”) on April 24, 2026 (the “Proxy Statement”). Holders of 40,746,383 shares of the Company’s common stock were present or represented by proxy at the Annual Meeting.</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are the voting results of the proposals submitted to the Company’s stockholders at the Annual Meeting:</w:t>
      </w:r>
    </w:p>
    <w:p>
      <w:pPr>
        <w:spacing w:after="0" w:line="2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1 (Election of Directors) </w:t>
      </w:r>
      <w:r>
        <w:rPr>
          <w:rFonts w:ascii="Times New Roman" w:cs="Times New Roman" w:eastAsia="Times New Roman" w:hAnsi="Times New Roman"/>
          <w:sz w:val="18"/>
          <w:szCs w:val="18"/>
          <w:color w:val="auto"/>
        </w:rPr>
        <w:t>— The Company’s stockholders elected the following six persons as directors of the Company, each to serve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 Company’s annual meeting of stockholders to be held in 2027, or until his or her respective successor is duly elected and qualified. The following table sets forth the voting results for each director nominee: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8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0" w:type="dxa"/>
            <w:vAlign w:val="bottom"/>
          </w:tcPr>
          <w:p>
            <w:pPr>
              <w:spacing w:after="0"/>
              <w:rPr>
                <w:sz w:val="20"/>
                <w:szCs w:val="20"/>
                <w:color w:val="auto"/>
              </w:rPr>
            </w:pPr>
          </w:p>
        </w:tc>
        <w:tc>
          <w:tcPr>
            <w:tcW w:w="16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6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1"/>
        </w:trPr>
        <w:tc>
          <w:tcPr>
            <w:tcW w:w="29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Jeremy Spivey</w:t>
            </w:r>
          </w:p>
        </w:tc>
        <w:tc>
          <w:tcPr>
            <w:tcW w:w="180" w:type="dxa"/>
            <w:vAlign w:val="bottom"/>
          </w:tcPr>
          <w:p>
            <w:pPr>
              <w:spacing w:after="0"/>
              <w:rPr>
                <w:sz w:val="16"/>
                <w:szCs w:val="16"/>
                <w:color w:val="auto"/>
              </w:rPr>
            </w:pPr>
          </w:p>
        </w:tc>
        <w:tc>
          <w:tcPr>
            <w:tcW w:w="1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40,337,736</w:t>
            </w:r>
          </w:p>
        </w:tc>
        <w:tc>
          <w:tcPr>
            <w:tcW w:w="180" w:type="dxa"/>
            <w:vAlign w:val="bottom"/>
          </w:tcPr>
          <w:p>
            <w:pPr>
              <w:spacing w:after="0"/>
              <w:rPr>
                <w:sz w:val="16"/>
                <w:szCs w:val="16"/>
                <w:color w:val="auto"/>
              </w:rPr>
            </w:pPr>
          </w:p>
        </w:tc>
        <w:tc>
          <w:tcPr>
            <w:tcW w:w="1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68,911</w:t>
            </w:r>
          </w:p>
        </w:tc>
        <w:tc>
          <w:tcPr>
            <w:tcW w:w="160" w:type="dxa"/>
            <w:vAlign w:val="bottom"/>
          </w:tcPr>
          <w:p>
            <w:pPr>
              <w:spacing w:after="0"/>
              <w:rPr>
                <w:sz w:val="16"/>
                <w:szCs w:val="16"/>
                <w:color w:val="auto"/>
              </w:rPr>
            </w:pPr>
          </w:p>
        </w:tc>
        <w:tc>
          <w:tcPr>
            <w:tcW w:w="1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1,968</w:t>
            </w:r>
          </w:p>
        </w:tc>
        <w:tc>
          <w:tcPr>
            <w:tcW w:w="160" w:type="dxa"/>
            <w:vAlign w:val="bottom"/>
          </w:tcPr>
          <w:p>
            <w:pPr>
              <w:spacing w:after="0"/>
              <w:rPr>
                <w:sz w:val="16"/>
                <w:szCs w:val="16"/>
                <w:color w:val="auto"/>
              </w:rPr>
            </w:pPr>
          </w:p>
        </w:tc>
        <w:tc>
          <w:tcPr>
            <w:tcW w:w="2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337,768</w:t>
            </w: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M. Lee</w:t>
            </w:r>
          </w:p>
        </w:tc>
        <w:tc>
          <w:tcPr>
            <w:tcW w:w="1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40,198,067</w:t>
            </w:r>
          </w:p>
        </w:tc>
        <w:tc>
          <w:tcPr>
            <w:tcW w:w="1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208,581</w:t>
            </w:r>
          </w:p>
        </w:tc>
        <w:tc>
          <w:tcPr>
            <w:tcW w:w="1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1,967</w:t>
            </w:r>
          </w:p>
        </w:tc>
        <w:tc>
          <w:tcPr>
            <w:tcW w:w="2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337,768</w:t>
            </w: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Austin J. Shanfelter</w:t>
            </w:r>
          </w:p>
        </w:tc>
        <w:tc>
          <w:tcPr>
            <w:tcW w:w="1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40,200,309</w:t>
            </w:r>
          </w:p>
        </w:tc>
        <w:tc>
          <w:tcPr>
            <w:tcW w:w="1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206,339</w:t>
            </w:r>
          </w:p>
        </w:tc>
        <w:tc>
          <w:tcPr>
            <w:tcW w:w="1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1,967</w:t>
            </w:r>
          </w:p>
        </w:tc>
        <w:tc>
          <w:tcPr>
            <w:tcW w:w="2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337,768</w:t>
            </w: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 Wimmer</w:t>
            </w:r>
          </w:p>
        </w:tc>
        <w:tc>
          <w:tcPr>
            <w:tcW w:w="1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40,200,580</w:t>
            </w:r>
          </w:p>
        </w:tc>
        <w:tc>
          <w:tcPr>
            <w:tcW w:w="1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206,339</w:t>
            </w:r>
          </w:p>
        </w:tc>
        <w:tc>
          <w:tcPr>
            <w:tcW w:w="1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1,696</w:t>
            </w:r>
          </w:p>
        </w:tc>
        <w:tc>
          <w:tcPr>
            <w:tcW w:w="2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337,768</w:t>
            </w: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L. Wood, Jr.</w:t>
            </w:r>
          </w:p>
        </w:tc>
        <w:tc>
          <w:tcPr>
            <w:tcW w:w="1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40,402,943</w:t>
            </w:r>
          </w:p>
        </w:tc>
        <w:tc>
          <w:tcPr>
            <w:tcW w:w="1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3,705</w:t>
            </w:r>
          </w:p>
        </w:tc>
        <w:tc>
          <w:tcPr>
            <w:tcW w:w="1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1,967</w:t>
            </w:r>
          </w:p>
        </w:tc>
        <w:tc>
          <w:tcPr>
            <w:tcW w:w="2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337,768</w:t>
            </w: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Ivy Zelman</w:t>
            </w:r>
          </w:p>
        </w:tc>
        <w:tc>
          <w:tcPr>
            <w:tcW w:w="1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40,389,218</w:t>
            </w:r>
          </w:p>
        </w:tc>
        <w:tc>
          <w:tcPr>
            <w:tcW w:w="1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17,450</w:t>
            </w:r>
          </w:p>
        </w:tc>
        <w:tc>
          <w:tcPr>
            <w:tcW w:w="1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1,947</w:t>
            </w:r>
          </w:p>
        </w:tc>
        <w:tc>
          <w:tcPr>
            <w:tcW w:w="2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337,768</w:t>
            </w:r>
          </w:p>
        </w:tc>
      </w:tr>
    </w:tbl>
    <w:p>
      <w:pPr>
        <w:spacing w:after="0" w:line="200" w:lineRule="exact"/>
        <w:rPr>
          <w:sz w:val="20"/>
          <w:szCs w:val="20"/>
          <w:color w:val="auto"/>
        </w:rPr>
      </w:pPr>
    </w:p>
    <w:p>
      <w:pPr>
        <w:spacing w:after="0" w:line="210"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2 (Ratification of Grant Thornton LLP) </w:t>
      </w:r>
      <w:r>
        <w:rPr>
          <w:rFonts w:ascii="Times New Roman" w:cs="Times New Roman" w:eastAsia="Times New Roman" w:hAnsi="Times New Roman"/>
          <w:sz w:val="18"/>
          <w:szCs w:val="18"/>
          <w:color w:val="auto"/>
        </w:rPr>
        <w:t>— The Company’s stockholders approved the proposal to ratify the appointment of Grant Thornton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LLP as the Company’s independent registered public accounting firm for the Company’s fiscal year ending December 31, 2026. The following table sets forth the voting results for this proposal: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2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0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8"/>
        </w:trPr>
        <w:tc>
          <w:tcPr>
            <w:tcW w:w="26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40,744,175</w:t>
            </w:r>
          </w:p>
        </w:tc>
        <w:tc>
          <w:tcPr>
            <w:tcW w:w="1720" w:type="dxa"/>
            <w:vAlign w:val="bottom"/>
          </w:tcPr>
          <w:p>
            <w:pPr>
              <w:spacing w:after="0"/>
              <w:rPr>
                <w:sz w:val="19"/>
                <w:szCs w:val="19"/>
                <w:color w:val="auto"/>
              </w:rPr>
            </w:pPr>
          </w:p>
        </w:tc>
        <w:tc>
          <w:tcPr>
            <w:tcW w:w="24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spacing w:after="0"/>
              <w:rPr>
                <w:sz w:val="19"/>
                <w:szCs w:val="19"/>
                <w:color w:val="auto"/>
              </w:rPr>
            </w:pPr>
          </w:p>
        </w:tc>
        <w:tc>
          <w:tcPr>
            <w:tcW w:w="27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2,107</w:t>
            </w:r>
          </w:p>
        </w:tc>
      </w:tr>
      <w:tr>
        <w:trPr>
          <w:trHeight w:val="1393"/>
        </w:trPr>
        <w:tc>
          <w:tcPr>
            <w:tcW w:w="26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Mike 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Mike Rowe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2026-06-05T15:04:02Z</dcterms:created>
  <dcterms:modified xsi:type="dcterms:W3CDTF">2026-06-05T15:04:02Z</dcterms:modified>
</cp:coreProperties>
</file>