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1740" w:right="1739"/>
        <w:spacing w:after="0" w:line="349" w:lineRule="auto"/>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24, 2026.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-15875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Cardinal Infrastructure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81"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1600</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39-3180206</w:t>
            </w:r>
          </w:p>
        </w:tc>
        <w:tc>
          <w:tcPr>
            <w:tcW w:w="0" w:type="dxa"/>
            <w:vAlign w:val="bottom"/>
          </w:tcPr>
          <w:p>
            <w:pPr>
              <w:spacing w:after="0"/>
              <w:rPr>
                <w:sz w:val="1"/>
                <w:szCs w:val="1"/>
                <w:color w:val="auto"/>
              </w:rPr>
            </w:pPr>
          </w:p>
        </w:tc>
      </w:tr>
      <w:tr>
        <w:trPr>
          <w:trHeight w:val="68"/>
        </w:trPr>
        <w:tc>
          <w:tcPr>
            <w:tcW w:w="260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6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r>
        <w:trPr>
          <w:trHeight w:val="410"/>
        </w:trPr>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100 E. Six Forks Road, #300</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Raleigh, North Carolina 27609</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(919) 324-1964</w:t>
            </w: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left="1900" w:right="320"/>
        <w:spacing w:after="0" w:line="250" w:lineRule="auto"/>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Tiffany Gidley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E. Six Forks Road, #300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Raleigh, North Carolina 27609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324-1964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98"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30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Edward S. Best</w:t>
            </w:r>
          </w:p>
        </w:tc>
        <w:tc>
          <w:tcPr>
            <w:tcW w:w="3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Christopher D. Lueking</w:t>
            </w:r>
          </w:p>
        </w:tc>
      </w:tr>
      <w:tr>
        <w:trPr>
          <w:trHeight w:val="216"/>
        </w:trPr>
        <w:tc>
          <w:tcPr>
            <w:tcW w:w="30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Willkie Farr &amp; Gallagher LLP</w:t>
            </w:r>
          </w:p>
        </w:tc>
        <w:tc>
          <w:tcPr>
            <w:tcW w:w="3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Jonathan E. Sarna</w:t>
            </w:r>
          </w:p>
        </w:tc>
      </w:tr>
      <w:tr>
        <w:trPr>
          <w:trHeight w:val="216"/>
        </w:trPr>
        <w:tc>
          <w:tcPr>
            <w:tcW w:w="30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300 North LaSalle Drive</w:t>
            </w:r>
          </w:p>
        </w:tc>
        <w:tc>
          <w:tcPr>
            <w:tcW w:w="3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r>
      <w:tr>
        <w:trPr>
          <w:trHeight w:val="216"/>
        </w:trPr>
        <w:tc>
          <w:tcPr>
            <w:tcW w:w="30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Chicago, IL 60654</w:t>
            </w:r>
          </w:p>
        </w:tc>
        <w:tc>
          <w:tcPr>
            <w:tcW w:w="3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330 North Wabash Avenue, Suite 2800</w:t>
            </w:r>
          </w:p>
        </w:tc>
      </w:tr>
      <w:tr>
        <w:trPr>
          <w:trHeight w:val="216"/>
        </w:trPr>
        <w:tc>
          <w:tcPr>
            <w:tcW w:w="30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(312) 728-9000</w:t>
            </w:r>
          </w:p>
        </w:tc>
        <w:tc>
          <w:tcPr>
            <w:tcW w:w="3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Chicago, IL 60611</w:t>
            </w:r>
          </w:p>
        </w:tc>
      </w:tr>
      <w:tr>
        <w:trPr>
          <w:trHeight w:val="238"/>
        </w:trPr>
        <w:tc>
          <w:tcPr>
            <w:tcW w:w="3080" w:type="dxa"/>
            <w:vAlign w:val="bottom"/>
          </w:tcPr>
          <w:p>
            <w:pPr>
              <w:spacing w:after="0"/>
              <w:rPr>
                <w:sz w:val="20"/>
                <w:szCs w:val="20"/>
                <w:color w:val="auto"/>
              </w:rPr>
            </w:pPr>
          </w:p>
        </w:tc>
        <w:tc>
          <w:tcPr>
            <w:tcW w:w="3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(312) 876-7700</w:t>
            </w:r>
          </w:p>
        </w:tc>
      </w:tr>
    </w:tbl>
    <w:p>
      <w:pPr>
        <w:spacing w:after="0" w:line="19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7" w:lineRule="exact"/>
        <w:rPr>
          <w:sz w:val="24"/>
          <w:szCs w:val="24"/>
          <w:color w:val="auto"/>
        </w:rPr>
      </w:pPr>
    </w:p>
    <w:p>
      <w:pPr>
        <w:ind w:left="460" w:right="939" w:firstLine="432"/>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registration statement.</w:t>
      </w:r>
    </w:p>
    <w:p>
      <w:pPr>
        <w:ind w:left="460" w:right="61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460" w:right="499" w:firstLine="432"/>
        <w:spacing w:after="0" w:line="239"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620" w:hanging="166"/>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333-296958</w:t>
      </w:r>
    </w:p>
    <w:p>
      <w:pPr>
        <w:spacing w:after="0" w:line="44" w:lineRule="exact"/>
        <w:rPr>
          <w:sz w:val="24"/>
          <w:szCs w:val="24"/>
          <w:color w:val="auto"/>
        </w:rPr>
      </w:pPr>
    </w:p>
    <w:p>
      <w:pPr>
        <w:ind w:left="460" w:right="63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460" w:right="63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460" w:right="599" w:firstLine="432"/>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800" w:type="dxa"/>
        <w:tblCellMar>
          <w:top w:w="0" w:type="dxa"/>
          <w:left w:w="0" w:type="dxa"/>
          <w:bottom w:w="0" w:type="dxa"/>
          <w:right w:w="0" w:type="dxa"/>
        </w:tblCellMar>
      </w:tblPr>
      <w:tr>
        <w:trPr>
          <w:trHeight w:val="242"/>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3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Accelerated filer</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3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76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6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9" w:lineRule="exact"/>
        <w:rPr>
          <w:sz w:val="24"/>
          <w:szCs w:val="24"/>
          <w:color w:val="auto"/>
        </w:rPr>
      </w:pPr>
    </w:p>
    <w:p>
      <w:pPr>
        <w:ind w:left="460" w:right="73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4" w:lineRule="exact"/>
        <w:rPr>
          <w:sz w:val="24"/>
          <w:szCs w:val="24"/>
          <w:color w:val="auto"/>
        </w:rPr>
      </w:pPr>
    </w:p>
    <w:p>
      <w:pPr>
        <w:ind w:left="460" w:right="499" w:firstLine="432"/>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15" w:lineRule="exact"/>
        <w:rPr>
          <w:sz w:val="24"/>
          <w:szCs w:val="24"/>
          <w:color w:val="auto"/>
        </w:rPr>
      </w:pPr>
    </w:p>
    <w:p>
      <w:pPr>
        <w:ind w:left="460" w:right="639" w:firstLine="432"/>
        <w:spacing w:after="0" w:line="264" w:lineRule="auto"/>
        <w:rPr>
          <w:sz w:val="20"/>
          <w:szCs w:val="20"/>
          <w:color w:val="auto"/>
        </w:rPr>
      </w:pPr>
      <w:r>
        <w:rPr>
          <w:rFonts w:ascii="Times New Roman" w:cs="Times New Roman" w:eastAsia="Times New Roman" w:hAnsi="Times New Roman"/>
          <w:sz w:val="14"/>
          <w:szCs w:val="14"/>
          <w:b w:val="1"/>
          <w:bCs w:val="1"/>
          <w:color w:val="auto"/>
        </w:rPr>
        <w:t>This registration statement shall become effective upon filing with the Securities and Exchange Commission in accordance with Rule 462(b) promulgated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22225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65405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339725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941"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 AND INCORPORATION OF CERTAIN INFORMATION BY REFERENCE</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Cardinal Infrastructure Group Inc. is filing this registration statement with the Securities and Exchange Commission (the “Commission”) pursuant to Rule 462(b) under the Securities Act of 1933, as amended. This registration statement relates to the registrant’s prior registration statement on Form S-1 (File No. 333-296958) (together with its exhibits, the “Prior Registration Statement”), which was declared effective by the Commission on June 24, 2026.</w:t>
      </w:r>
    </w:p>
    <w:p>
      <w:pPr>
        <w:spacing w:after="0" w:line="10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registrant is filing this registration statement for the sole purpose of registering the sale of an additional 287,500 shares of Class A common stock of the registrant, which includes 37,500 shares of Class A common stock that may be sold as part of the underwriters’ option to purchase additional shares. The additional shares that are being registered for sale are in an amount and at a price that together represent no more than 20% of the maximum aggregate offering price set forth in the filing fee table filed as Exhibit 107 to the Prior Registration Statement. The contents of the Prior Registration Statement, including all amendments and exhibits thereto, are incorporated by reference herein.</w:t>
      </w:r>
    </w:p>
    <w:p>
      <w:pPr>
        <w:spacing w:after="0" w:line="121"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The required opinion and consents are listed in Part II, Item 16 of this registration statement and filed herewith.</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UNDERTAKING</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Company hereby certifies to the Commission that (i) it has instructed its bank to pay the Commission the filing fee set forth in Exhibit 107 the cover page of this Registration Statement by wire transfer of such amount to the Commission’s account at Truist Bank as soon as practicable (but no later than the close of business on June 25, 2026); (ii) it will not revoke such instruction; (iii) it has sufficient funds in the relevant account to cover the amount of such filing fee; and (iv) it will confirm receipt of such instructions by its bank during the bank’s regular business hours no later than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241935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6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 and all other exhibits previously filed as exhibits to the Prior Registration Statement are incorporated by reference into, and shall be deemed to be a part of, this filing.</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87"/>
        </w:trPr>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r>
      <w:tr>
        <w:trPr>
          <w:trHeight w:val="169"/>
        </w:trPr>
        <w:tc>
          <w:tcPr>
            <w:tcW w:w="8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4"/>
                <w:szCs w:val="14"/>
                <w:color w:val="auto"/>
              </w:rPr>
            </w:pPr>
          </w:p>
        </w:tc>
        <w:tc>
          <w:tcPr>
            <w:tcW w:w="7180" w:type="dxa"/>
            <w:vAlign w:val="bottom"/>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Opinion of Willkie Farr &amp; Galagher LLP.</w:t>
            </w:r>
          </w:p>
        </w:tc>
      </w:tr>
      <w:tr>
        <w:trPr>
          <w:trHeight w:val="75"/>
        </w:trPr>
        <w:tc>
          <w:tcPr>
            <w:tcW w:w="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50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2300" w:type="dxa"/>
            <w:vAlign w:val="bottom"/>
            <w:tcBorders>
              <w:top w:val="single" w:sz="8" w:color="CCEEFF"/>
            </w:tcBorders>
            <w:shd w:val="clear" w:color="auto" w:fill="CCEEFF"/>
          </w:tcPr>
          <w:p>
            <w:pPr>
              <w:spacing w:after="0"/>
              <w:rPr>
                <w:sz w:val="6"/>
                <w:szCs w:val="6"/>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7260" w:type="dxa"/>
            <w:vAlign w:val="bottom"/>
            <w:gridSpan w:val="7"/>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Consent of Grant Thornton LLP</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Borders>
              <w:top w:val="single" w:sz="8" w:color="0000EE"/>
            </w:tcBorders>
          </w:tcPr>
          <w:p>
            <w:pPr>
              <w:spacing w:after="0"/>
              <w:rPr>
                <w:sz w:val="7"/>
                <w:szCs w:val="7"/>
                <w:color w:val="auto"/>
              </w:rPr>
            </w:pPr>
          </w:p>
        </w:tc>
        <w:tc>
          <w:tcPr>
            <w:tcW w:w="82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300" w:type="dxa"/>
            <w:vAlign w:val="bottom"/>
          </w:tcPr>
          <w:p>
            <w:pPr>
              <w:spacing w:after="0"/>
              <w:rPr>
                <w:sz w:val="7"/>
                <w:szCs w:val="7"/>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7260" w:type="dxa"/>
            <w:vAlign w:val="bottom"/>
            <w:gridSpan w:val="7"/>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Consent of Warren Averett, LLC</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500" w:type="dxa"/>
            <w:vAlign w:val="bottom"/>
            <w:tcBorders>
              <w:top w:val="single" w:sz="8" w:color="0000EE"/>
            </w:tcBorders>
            <w:shd w:val="clear" w:color="auto" w:fill="CCEEFF"/>
          </w:tcPr>
          <w:p>
            <w:pPr>
              <w:spacing w:after="0"/>
              <w:rPr>
                <w:sz w:val="7"/>
                <w:szCs w:val="7"/>
                <w:color w:val="auto"/>
              </w:rPr>
            </w:pPr>
          </w:p>
        </w:tc>
        <w:tc>
          <w:tcPr>
            <w:tcW w:w="8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880" w:type="dxa"/>
            <w:vAlign w:val="bottom"/>
            <w:tcBorders>
              <w:top w:val="single" w:sz="8" w:color="CCEEFF"/>
            </w:tcBorders>
            <w:shd w:val="clear" w:color="auto" w:fill="CCEEFF"/>
          </w:tcPr>
          <w:p>
            <w:pPr>
              <w:spacing w:after="0"/>
              <w:rPr>
                <w:sz w:val="7"/>
                <w:szCs w:val="7"/>
                <w:color w:val="auto"/>
              </w:rPr>
            </w:pPr>
          </w:p>
        </w:tc>
        <w:tc>
          <w:tcPr>
            <w:tcW w:w="2300" w:type="dxa"/>
            <w:vAlign w:val="bottom"/>
            <w:tcBorders>
              <w:top w:val="single" w:sz="8" w:color="CCEEFF"/>
            </w:tcBorders>
            <w:shd w:val="clear" w:color="auto" w:fill="CCEEFF"/>
          </w:tcPr>
          <w:p>
            <w:pPr>
              <w:spacing w:after="0"/>
              <w:rPr>
                <w:sz w:val="7"/>
                <w:szCs w:val="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7260" w:type="dxa"/>
            <w:vAlign w:val="bottom"/>
            <w:gridSpan w:val="7"/>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Consent of Willkie Farr &amp; Gallagher LLP (included in Exhibit 5.1).</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Borders>
              <w:top w:val="single" w:sz="8" w:color="0000EE"/>
            </w:tcBorders>
          </w:tcPr>
          <w:p>
            <w:pPr>
              <w:spacing w:after="0"/>
              <w:rPr>
                <w:sz w:val="7"/>
                <w:szCs w:val="7"/>
                <w:color w:val="auto"/>
              </w:rPr>
            </w:pPr>
          </w:p>
        </w:tc>
        <w:tc>
          <w:tcPr>
            <w:tcW w:w="8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880" w:type="dxa"/>
            <w:vAlign w:val="bottom"/>
            <w:tcBorders>
              <w:top w:val="single" w:sz="8" w:color="0000EE"/>
            </w:tcBorders>
          </w:tcPr>
          <w:p>
            <w:pPr>
              <w:spacing w:after="0"/>
              <w:rPr>
                <w:sz w:val="7"/>
                <w:szCs w:val="7"/>
                <w:color w:val="auto"/>
              </w:rPr>
            </w:pPr>
          </w:p>
        </w:tc>
        <w:tc>
          <w:tcPr>
            <w:tcW w:w="2300" w:type="dxa"/>
            <w:vAlign w:val="bottom"/>
          </w:tcPr>
          <w:p>
            <w:pPr>
              <w:spacing w:after="0"/>
              <w:rPr>
                <w:sz w:val="7"/>
                <w:szCs w:val="7"/>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7260" w:type="dxa"/>
            <w:vAlign w:val="bottom"/>
            <w:gridSpan w:val="7"/>
            <w:shd w:val="clear" w:color="auto" w:fill="CCEEFF"/>
          </w:tcPr>
          <w:p>
            <w:pPr>
              <w:ind w:left="80"/>
              <w:spacing w:after="0" w:line="17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Powers of Attorney*</w:t>
              </w:r>
            </w:hyperlink>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500" w:type="dxa"/>
            <w:vAlign w:val="bottom"/>
            <w:tcBorders>
              <w:top w:val="single" w:sz="8" w:color="0000EE"/>
            </w:tcBorders>
            <w:shd w:val="clear" w:color="auto" w:fill="CCEEFF"/>
          </w:tcPr>
          <w:p>
            <w:pPr>
              <w:spacing w:after="0"/>
              <w:rPr>
                <w:sz w:val="7"/>
                <w:szCs w:val="7"/>
                <w:color w:val="auto"/>
              </w:rPr>
            </w:pPr>
          </w:p>
        </w:tc>
        <w:tc>
          <w:tcPr>
            <w:tcW w:w="8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880" w:type="dxa"/>
            <w:vAlign w:val="bottom"/>
            <w:tcBorders>
              <w:top w:val="single" w:sz="8" w:color="CCEEFF"/>
            </w:tcBorders>
            <w:shd w:val="clear" w:color="auto" w:fill="CCEEFF"/>
          </w:tcPr>
          <w:p>
            <w:pPr>
              <w:spacing w:after="0"/>
              <w:rPr>
                <w:sz w:val="7"/>
                <w:szCs w:val="7"/>
                <w:color w:val="auto"/>
              </w:rPr>
            </w:pPr>
          </w:p>
        </w:tc>
        <w:tc>
          <w:tcPr>
            <w:tcW w:w="2300" w:type="dxa"/>
            <w:vAlign w:val="bottom"/>
            <w:tcBorders>
              <w:top w:val="single" w:sz="8" w:color="CCEEFF"/>
            </w:tcBorders>
            <w:shd w:val="clear" w:color="auto" w:fill="CCEEFF"/>
          </w:tcPr>
          <w:p>
            <w:pPr>
              <w:spacing w:after="0"/>
              <w:rPr>
                <w:sz w:val="7"/>
                <w:szCs w:val="7"/>
                <w:color w:val="auto"/>
              </w:rPr>
            </w:pPr>
          </w:p>
        </w:tc>
      </w:tr>
    </w:tbl>
    <w:p>
      <w:pPr>
        <w:ind w:left="1380" w:hanging="926"/>
        <w:spacing w:after="0"/>
        <w:tabs>
          <w:tab w:leader="none" w:pos="1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999" w:hanging="426"/>
        <w:spacing w:after="0" w:line="298" w:lineRule="auto"/>
        <w:tabs>
          <w:tab w:leader="none" w:pos="8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included as Exhibit 24.1 to the Prior Registration Statement, originally filed with the Securities and Exchange Commission on June 22, 2026 and incorporated by reference herein.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Raleigh, North Carolina, State of North Carolina, on June 24, 2026.</w:t>
      </w:r>
    </w:p>
    <w:p>
      <w:pPr>
        <w:spacing w:after="0" w:line="1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CARDINAL INFRASTRUCTURE GROUP INC.</w:t>
      </w:r>
    </w:p>
    <w:p>
      <w:pPr>
        <w:spacing w:after="0" w:line="65" w:lineRule="exact"/>
        <w:rPr>
          <w:sz w:val="20"/>
          <w:szCs w:val="20"/>
          <w:color w:val="auto"/>
        </w:rPr>
      </w:pPr>
    </w:p>
    <w:p>
      <w:pPr>
        <w:ind w:left="4760"/>
        <w:spacing w:after="0"/>
        <w:tabs>
          <w:tab w:leader="none" w:pos="5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Jeremy Spivey</w:t>
      </w:r>
    </w:p>
    <w:p>
      <w:pPr>
        <w:spacing w:after="0" w:line="7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Name:  Jeremy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-119380</wp:posOffset>
            </wp:positionV>
            <wp:extent cx="2031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57" w:lineRule="exact"/>
        <w:rPr>
          <w:sz w:val="20"/>
          <w:szCs w:val="20"/>
          <w:color w:val="auto"/>
        </w:rPr>
      </w:pPr>
    </w:p>
    <w:p>
      <w:pPr>
        <w:ind w:left="4760"/>
        <w:spacing w:after="0"/>
        <w:tabs>
          <w:tab w:leader="none" w:pos="53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2"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24, 2026.</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Jeremy Spivey</w:t>
            </w:r>
          </w:p>
        </w:tc>
        <w:tc>
          <w:tcPr>
            <w:tcW w:w="20" w:type="dxa"/>
            <w:vAlign w:val="bottom"/>
          </w:tcPr>
          <w:p>
            <w:pPr>
              <w:spacing w:after="0"/>
              <w:rPr>
                <w:sz w:val="20"/>
                <w:szCs w:val="20"/>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318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4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(Principal Executive Officer); Director</w:t>
            </w: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Spivey</w:t>
            </w:r>
          </w:p>
        </w:tc>
        <w:tc>
          <w:tcPr>
            <w:tcW w:w="20" w:type="dxa"/>
            <w:vAlign w:val="bottom"/>
            <w:vMerge w:val="continue"/>
          </w:tcPr>
          <w:p>
            <w:pPr>
              <w:spacing w:after="0"/>
              <w:rPr>
                <w:sz w:val="19"/>
                <w:szCs w:val="19"/>
                <w:color w:val="auto"/>
              </w:rPr>
            </w:pPr>
          </w:p>
        </w:tc>
        <w:tc>
          <w:tcPr>
            <w:tcW w:w="4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Mike Rowe</w:t>
            </w:r>
          </w:p>
        </w:tc>
        <w:tc>
          <w:tcPr>
            <w:tcW w:w="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54"/>
        </w:trPr>
        <w:tc>
          <w:tcPr>
            <w:tcW w:w="36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Mike Rowe</w:t>
            </w:r>
          </w:p>
        </w:tc>
        <w:tc>
          <w:tcPr>
            <w:tcW w:w="20" w:type="dxa"/>
            <w:vAlign w:val="bottom"/>
            <w:vMerge w:val="continue"/>
          </w:tcPr>
          <w:p>
            <w:pPr>
              <w:spacing w:after="0"/>
              <w:rPr>
                <w:sz w:val="19"/>
                <w:szCs w:val="19"/>
                <w:color w:val="auto"/>
              </w:rPr>
            </w:pPr>
          </w:p>
        </w:tc>
        <w:tc>
          <w:tcPr>
            <w:tcW w:w="4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
        </w:trPr>
        <w:tc>
          <w:tcPr>
            <w:tcW w:w="36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M. Lee</w:t>
            </w:r>
          </w:p>
        </w:tc>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
        </w:trPr>
        <w:tc>
          <w:tcPr>
            <w:tcW w:w="36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Austin J. Shanfelter</w:t>
            </w:r>
          </w:p>
        </w:tc>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
        </w:trPr>
        <w:tc>
          <w:tcPr>
            <w:tcW w:w="36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 Wimmer</w:t>
            </w:r>
          </w:p>
        </w:tc>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
        </w:trPr>
        <w:tc>
          <w:tcPr>
            <w:tcW w:w="36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L. Wood</w:t>
            </w:r>
          </w:p>
        </w:tc>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
        </w:trPr>
        <w:tc>
          <w:tcPr>
            <w:tcW w:w="36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Ivy Zelman</w:t>
            </w:r>
          </w:p>
        </w:tc>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Mike Rowe</w:t>
            </w:r>
          </w:p>
        </w:tc>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60" w:type="dxa"/>
            <w:vAlign w:val="bottom"/>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3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Mike Rowe</w:t>
            </w:r>
          </w:p>
        </w:tc>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9019"/>
          </w:cols>
          <w:pgMar w:left="1440" w:top="333" w:right="1440"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58"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282892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828925" cy="188595"/>
                    </a:xfrm>
                    <a:prstGeom prst="rect">
                      <a:avLst/>
                    </a:prstGeom>
                    <a:noFill/>
                  </pic:spPr>
                </pic:pic>
              </a:graphicData>
            </a:graphic>
          </wp:anchor>
        </w:drawing>
      </w:r>
    </w:p>
    <w:p>
      <w:pPr>
        <w:spacing w:after="0" w:line="7"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New York, NY 10019-6099</w:t>
      </w:r>
    </w:p>
    <w:p>
      <w:pPr>
        <w:spacing w:after="0" w:line="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Tel: 212 728 8000</w:t>
      </w:r>
    </w:p>
    <w:p>
      <w:pPr>
        <w:spacing w:after="0" w:line="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Fax: 212 728 8111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Cardinal Infrastructure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 Six Forks Road,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 27609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have represented Cardinal Infrastructure Group Inc., a Delaware corporation (the “Company”), in connection with the preparation and filing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Registration Statement on Form S-1 on the date hereof pursuant to Rule 462(b) (as amended, the “Additional Registration Statement”)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of 1933, as amended (the “Securities Act”) with the Securities and Exchange Commission (the “Commission”). The Additional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relates to the registration of the offer and sale by the Company of up to 287,500 shares (the “Shares”) of Class A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(the “Class A Common Stock”) of the Company, including 37,500 shares which may be offered and sold pursuant to the exercise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option to purchase additional shares of Class A Common Stock. The term “Shares” shall include any additional shares of Class A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registered by the Company pursuant to Rule 462(b) under the Act in connection with the offering contemplated by the Registration Statement.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is being furnished in connection with the requirements of Item 601(b)(5) of Regulation S-K under the Act, and no opinion is expressed herein as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matter pertaining to the contents of the Registration Statement or related prospectus (the “Prospectus”), other than as expressly stated herein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issue of the Shares.</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Additional Registration Statement incorporates by reference the Registration Statement on Form S-1, File No. 333-296958, as amended (the “Original Registration Statement”, together with the Additional Registration Statement, the “Registration Statements”), of the Company, filed with the Commission pursuant to the Securities Act.</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counsel to the Company, we have examined (i) the Registration Statements; (ii) the Amended and Restated Certificate of Incorporation (the “Restated Certificate of Incorporation”) of the Company dated December 9, 2025; (iii) the Amended and Restated Bylaws of the Company dated December 9, 2025; and (iv) the form of underwriting agreement (the “Underwriting Agreement”) filed as Exhibit 1.1 to the Original Registration Statement. We have also examined such other documents and instruments and have made such further investigations as we have deemed necessary or appropriate in connection with this opinion. The Company’s board of directors and/or a duly authorized committee thereof has taken and will take, from time to time, corporate action relating to the offering of the Shares (“Corporate Proceedings”).</w:t>
      </w:r>
    </w:p>
    <w:p>
      <w:pPr>
        <w:spacing w:after="0" w:line="192" w:lineRule="exact"/>
        <w:rPr>
          <w:sz w:val="20"/>
          <w:szCs w:val="20"/>
          <w:color w:val="auto"/>
        </w:rPr>
      </w:pPr>
    </w:p>
    <w:p>
      <w:pPr>
        <w:jc w:val="center"/>
        <w:spacing w:after="0"/>
        <w:tabs>
          <w:tab w:leader="none" w:pos="100" w:val="left"/>
          <w:tab w:leader="none" w:pos="100" w:val="left"/>
          <w:tab w:leader="none" w:pos="100" w:val="left"/>
          <w:tab w:leader="none" w:pos="100" w:val="left"/>
          <w:tab w:leader="none" w:pos="100" w:val="left"/>
          <w:tab w:leader="none" w:pos="120" w:val="left"/>
          <w:tab w:leader="none" w:pos="100" w:val="left"/>
        </w:tabs>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0"/>
          <w:szCs w:val="10"/>
          <w:color w:val="auto"/>
        </w:rPr>
        <w:t>russels</w:t>
      </w:r>
      <w:r>
        <w:rPr>
          <w:rFonts w:ascii="Times New Roman" w:cs="Times New Roman" w:eastAsia="Times New Roman" w:hAnsi="Times New Roman"/>
          <w:sz w:val="16"/>
          <w:szCs w:val="16"/>
          <w:color w:val="auto"/>
        </w:rPr>
        <w:tab/>
        <w:t>C</w:t>
      </w:r>
      <w:r>
        <w:rPr>
          <w:rFonts w:ascii="Times New Roman" w:cs="Times New Roman" w:eastAsia="Times New Roman" w:hAnsi="Times New Roman"/>
          <w:sz w:val="10"/>
          <w:szCs w:val="10"/>
          <w:color w:val="auto"/>
        </w:rPr>
        <w:t>hicago</w:t>
      </w:r>
      <w:r>
        <w:rPr>
          <w:rFonts w:ascii="Times New Roman" w:cs="Times New Roman" w:eastAsia="Times New Roman" w:hAnsi="Times New Roman"/>
          <w:sz w:val="16"/>
          <w:szCs w:val="16"/>
          <w:color w:val="auto"/>
        </w:rPr>
        <w:tab/>
        <w:t>D</w:t>
      </w:r>
      <w:r>
        <w:rPr>
          <w:rFonts w:ascii="Times New Roman" w:cs="Times New Roman" w:eastAsia="Times New Roman" w:hAnsi="Times New Roman"/>
          <w:sz w:val="10"/>
          <w:szCs w:val="10"/>
          <w:color w:val="auto"/>
        </w:rPr>
        <w:t>allas</w:t>
      </w:r>
      <w:r>
        <w:rPr>
          <w:rFonts w:ascii="Times New Roman" w:cs="Times New Roman" w:eastAsia="Times New Roman" w:hAnsi="Times New Roman"/>
          <w:sz w:val="16"/>
          <w:szCs w:val="16"/>
          <w:color w:val="auto"/>
        </w:rPr>
        <w:tab/>
        <w:t>F</w:t>
      </w:r>
      <w:r>
        <w:rPr>
          <w:rFonts w:ascii="Times New Roman" w:cs="Times New Roman" w:eastAsia="Times New Roman" w:hAnsi="Times New Roman"/>
          <w:sz w:val="10"/>
          <w:szCs w:val="10"/>
          <w:color w:val="auto"/>
        </w:rPr>
        <w:t>rankfurt</w:t>
      </w:r>
      <w:r>
        <w:rPr>
          <w:rFonts w:ascii="Times New Roman" w:cs="Times New Roman" w:eastAsia="Times New Roman" w:hAnsi="Times New Roman"/>
          <w:sz w:val="16"/>
          <w:szCs w:val="16"/>
          <w:color w:val="auto"/>
        </w:rPr>
        <w:tab/>
        <w:t>H</w:t>
      </w:r>
      <w:r>
        <w:rPr>
          <w:rFonts w:ascii="Times New Roman" w:cs="Times New Roman" w:eastAsia="Times New Roman" w:hAnsi="Times New Roman"/>
          <w:sz w:val="10"/>
          <w:szCs w:val="10"/>
          <w:color w:val="auto"/>
        </w:rPr>
        <w:t>amburg</w:t>
      </w:r>
      <w:r>
        <w:rPr>
          <w:rFonts w:ascii="Times New Roman" w:cs="Times New Roman" w:eastAsia="Times New Roman" w:hAnsi="Times New Roman"/>
          <w:sz w:val="16"/>
          <w:szCs w:val="16"/>
          <w:color w:val="auto"/>
        </w:rPr>
        <w:tab/>
        <w:t>H</w:t>
      </w:r>
      <w:r>
        <w:rPr>
          <w:rFonts w:ascii="Times New Roman" w:cs="Times New Roman" w:eastAsia="Times New Roman" w:hAnsi="Times New Roman"/>
          <w:sz w:val="10"/>
          <w:szCs w:val="10"/>
          <w:color w:val="auto"/>
        </w:rPr>
        <w:t>ouston</w:t>
      </w:r>
      <w:r>
        <w:rPr>
          <w:rFonts w:ascii="Times New Roman" w:cs="Times New Roman" w:eastAsia="Times New Roman" w:hAnsi="Times New Roman"/>
          <w:sz w:val="16"/>
          <w:szCs w:val="16"/>
          <w:color w:val="auto"/>
        </w:rPr>
        <w:tab/>
        <w:t>L</w:t>
      </w:r>
      <w:r>
        <w:rPr>
          <w:rFonts w:ascii="Times New Roman" w:cs="Times New Roman" w:eastAsia="Times New Roman" w:hAnsi="Times New Roman"/>
          <w:sz w:val="10"/>
          <w:szCs w:val="10"/>
          <w:color w:val="auto"/>
        </w:rPr>
        <w:t>ondon</w:t>
      </w:r>
      <w:r>
        <w:rPr>
          <w:rFonts w:ascii="Times New Roman" w:cs="Times New Roman" w:eastAsia="Times New Roman" w:hAnsi="Times New Roman"/>
          <w:sz w:val="16"/>
          <w:szCs w:val="16"/>
          <w:color w:val="auto"/>
        </w:rPr>
        <w:tab/>
        <w:t>L</w:t>
      </w:r>
      <w:r>
        <w:rPr>
          <w:rFonts w:ascii="Times New Roman" w:cs="Times New Roman" w:eastAsia="Times New Roman" w:hAnsi="Times New Roman"/>
          <w:sz w:val="10"/>
          <w:szCs w:val="10"/>
          <w:color w:val="auto"/>
        </w:rPr>
        <w:t>os</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ngeles</w:t>
      </w:r>
    </w:p>
    <w:p>
      <w:pPr>
        <w:spacing w:after="0" w:line="221" w:lineRule="exact"/>
        <w:rPr>
          <w:sz w:val="20"/>
          <w:szCs w:val="20"/>
          <w:color w:val="auto"/>
        </w:rPr>
      </w:pPr>
    </w:p>
    <w:p>
      <w:pPr>
        <w:jc w:val="center"/>
        <w:ind w:right="-19"/>
        <w:spacing w:after="0"/>
        <w:tabs>
          <w:tab w:leader="none" w:pos="100" w:val="left"/>
          <w:tab w:leader="none" w:pos="100" w:val="left"/>
          <w:tab w:leader="none" w:pos="100" w:val="left"/>
          <w:tab w:leader="none" w:pos="100" w:val="left"/>
          <w:tab w:leader="none" w:pos="100" w:val="left"/>
          <w:tab w:leader="none" w:pos="100" w:val="left"/>
          <w:tab w:leader="none" w:pos="100" w:val="left"/>
        </w:tabs>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0"/>
          <w:szCs w:val="10"/>
          <w:color w:val="auto"/>
        </w:rPr>
        <w:t>ilan</w:t>
      </w:r>
      <w:r>
        <w:rPr>
          <w:rFonts w:ascii="Times New Roman" w:cs="Times New Roman" w:eastAsia="Times New Roman" w:hAnsi="Times New Roman"/>
          <w:sz w:val="16"/>
          <w:szCs w:val="16"/>
          <w:color w:val="auto"/>
        </w:rPr>
        <w:tab/>
        <w:t>M</w:t>
      </w:r>
      <w:r>
        <w:rPr>
          <w:rFonts w:ascii="Times New Roman" w:cs="Times New Roman" w:eastAsia="Times New Roman" w:hAnsi="Times New Roman"/>
          <w:sz w:val="10"/>
          <w:szCs w:val="10"/>
          <w:color w:val="auto"/>
        </w:rPr>
        <w:t>unich</w:t>
      </w:r>
      <w:r>
        <w:rPr>
          <w:rFonts w:ascii="Times New Roman" w:cs="Times New Roman" w:eastAsia="Times New Roman" w:hAnsi="Times New Roman"/>
          <w:sz w:val="16"/>
          <w:szCs w:val="16"/>
          <w:color w:val="auto"/>
        </w:rPr>
        <w:tab/>
        <w:t>N</w:t>
      </w:r>
      <w:r>
        <w:rPr>
          <w:rFonts w:ascii="Times New Roman" w:cs="Times New Roman" w:eastAsia="Times New Roman" w:hAnsi="Times New Roman"/>
          <w:sz w:val="10"/>
          <w:szCs w:val="10"/>
          <w:color w:val="auto"/>
        </w:rPr>
        <w:t>ew</w:t>
      </w:r>
      <w:r>
        <w:rPr>
          <w:rFonts w:ascii="Times New Roman" w:cs="Times New Roman" w:eastAsia="Times New Roman" w:hAnsi="Times New Roman"/>
          <w:sz w:val="16"/>
          <w:szCs w:val="16"/>
          <w:color w:val="auto"/>
        </w:rPr>
        <w:t xml:space="preserve"> Y</w:t>
      </w:r>
      <w:r>
        <w:rPr>
          <w:rFonts w:ascii="Times New Roman" w:cs="Times New Roman" w:eastAsia="Times New Roman" w:hAnsi="Times New Roman"/>
          <w:sz w:val="10"/>
          <w:szCs w:val="10"/>
          <w:color w:val="auto"/>
        </w:rPr>
        <w:t>ork</w:t>
      </w:r>
      <w:r>
        <w:rPr>
          <w:rFonts w:ascii="Times New Roman" w:cs="Times New Roman" w:eastAsia="Times New Roman" w:hAnsi="Times New Roman"/>
          <w:sz w:val="16"/>
          <w:szCs w:val="16"/>
          <w:color w:val="auto"/>
        </w:rPr>
        <w:tab/>
        <w:t>P</w:t>
      </w:r>
      <w:r>
        <w:rPr>
          <w:rFonts w:ascii="Times New Roman" w:cs="Times New Roman" w:eastAsia="Times New Roman" w:hAnsi="Times New Roman"/>
          <w:sz w:val="10"/>
          <w:szCs w:val="10"/>
          <w:color w:val="auto"/>
        </w:rPr>
        <w:t>alo</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lto</w:t>
      </w:r>
      <w:r>
        <w:rPr>
          <w:rFonts w:ascii="Times New Roman" w:cs="Times New Roman" w:eastAsia="Times New Roman" w:hAnsi="Times New Roman"/>
          <w:sz w:val="16"/>
          <w:szCs w:val="16"/>
          <w:color w:val="auto"/>
        </w:rPr>
        <w:tab/>
        <w:t>P</w:t>
      </w:r>
      <w:r>
        <w:rPr>
          <w:rFonts w:ascii="Times New Roman" w:cs="Times New Roman" w:eastAsia="Times New Roman" w:hAnsi="Times New Roman"/>
          <w:sz w:val="10"/>
          <w:szCs w:val="10"/>
          <w:color w:val="auto"/>
        </w:rPr>
        <w:t>aris</w:t>
      </w:r>
      <w:r>
        <w:rPr>
          <w:rFonts w:ascii="Times New Roman" w:cs="Times New Roman" w:eastAsia="Times New Roman" w:hAnsi="Times New Roman"/>
          <w:sz w:val="16"/>
          <w:szCs w:val="16"/>
          <w:color w:val="auto"/>
        </w:rPr>
        <w:tab/>
        <w:t>R</w:t>
      </w:r>
      <w:r>
        <w:rPr>
          <w:rFonts w:ascii="Times New Roman" w:cs="Times New Roman" w:eastAsia="Times New Roman" w:hAnsi="Times New Roman"/>
          <w:sz w:val="10"/>
          <w:szCs w:val="10"/>
          <w:color w:val="auto"/>
        </w:rPr>
        <w:t>ome</w:t>
      </w:r>
      <w:r>
        <w:rPr>
          <w:rFonts w:ascii="Times New Roman" w:cs="Times New Roman" w:eastAsia="Times New Roman" w:hAnsi="Times New Roman"/>
          <w:sz w:val="16"/>
          <w:szCs w:val="16"/>
          <w:color w:val="auto"/>
        </w:rPr>
        <w:tab/>
        <w:t>S</w:t>
      </w:r>
      <w:r>
        <w:rPr>
          <w:rFonts w:ascii="Times New Roman" w:cs="Times New Roman" w:eastAsia="Times New Roman" w:hAnsi="Times New Roman"/>
          <w:sz w:val="10"/>
          <w:szCs w:val="10"/>
          <w:color w:val="auto"/>
        </w:rPr>
        <w:t>an</w:t>
      </w:r>
      <w:r>
        <w:rPr>
          <w:rFonts w:ascii="Times New Roman" w:cs="Times New Roman" w:eastAsia="Times New Roman" w:hAnsi="Times New Roman"/>
          <w:sz w:val="16"/>
          <w:szCs w:val="16"/>
          <w:color w:val="auto"/>
        </w:rPr>
        <w:t xml:space="preserve"> F</w:t>
      </w:r>
      <w:r>
        <w:rPr>
          <w:rFonts w:ascii="Times New Roman" w:cs="Times New Roman" w:eastAsia="Times New Roman" w:hAnsi="Times New Roman"/>
          <w:sz w:val="10"/>
          <w:szCs w:val="10"/>
          <w:color w:val="auto"/>
        </w:rPr>
        <w:t>rancisco</w:t>
      </w:r>
      <w:r>
        <w:rPr>
          <w:rFonts w:ascii="Times New Roman" w:cs="Times New Roman" w:eastAsia="Times New Roman" w:hAnsi="Times New Roman"/>
          <w:sz w:val="16"/>
          <w:szCs w:val="16"/>
          <w:color w:val="auto"/>
        </w:rPr>
        <w:tab/>
        <w:t>W</w:t>
      </w:r>
      <w:r>
        <w:rPr>
          <w:rFonts w:ascii="Times New Roman" w:cs="Times New Roman" w:eastAsia="Times New Roman" w:hAnsi="Times New Roman"/>
          <w:sz w:val="10"/>
          <w:szCs w:val="10"/>
          <w:color w:val="auto"/>
        </w:rPr>
        <w:t>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Cardinal Infrastructure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expressing the opinions set forth below, we have assumed the genuineness of all signatures, the conformity to the originals of all documents reviewed by us as copies, the authenticity and completeness of all original documents reviewed by us in original or copy form and the legal competence of each individual executing any document. As to all parties other than the Company, we have assumed the due authorization, execution and delivery of all documents and the validity and enforceability thereof against all parties thereto in accordance with their respective terms.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have also assumed that (i) the Original Registration Statements has been declared effective by the Commission and that the Additional Registration Statement became effective upon filing; (ii) all Shares will be issued and sold in compliance with applicable federal and state laws and in the manner stated in the Registration Statements and the Prospectus; (iii) the Underwriting Agreement will have been duly authorized and validly executed and delivered by the parties thereto; (iv) the Shares will be sold and delivered at the price and in accordance with the terms of the Underwriting Agreement and as set forth in the Registration Statements and the Prospectus; (v) the issue price for the Shares will be at a price not less than the par value of such Shares; and (vi) the Corporate Proceedings with respect to the Shares and their offering and issuance will have been completed.</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to matters of fact (but not as to legal conclusions), to the extent we deemed proper, we have relied upon certificates and comparable documents of the responsible officers of the Company and of public officials.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and other qualifications and limitations set forth herein and having regard for legal considerations which we deem relevant, we are of the opinion that the Shares, when they have been duly registered on the books of the transfer agent and registrar therefor in the name or on behalf of the purchasers and have been issued and delivered against payment therefor as provided in the Underwriting Agreement, will be validly issued, fully paid and non-assessable.</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opinion expressed above is limited to the Delaware General Corporation Law and we express no opinion with respect to the laws of any other country, state or jurisdiction.</w:t>
      </w:r>
    </w:p>
    <w:p>
      <w:pPr>
        <w:spacing w:after="0" w:line="162"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references to our firm in the Additional Registration Statement under the heading “Legal Matters.” In giving this consent, we do not thereby admit that we are in the category of persons whose consent is required under Section 7 of the Securities Act of 1933, as amended, or the rules and regulations of the Securities and Exchange Commission thereunder.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Willkie Farr &amp; Gallagher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Willkie Farr &amp; Gallagher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issued our report dated March 23, 2026, with respect to the consolidated financial statements of Cardinal Infrastructure Group Inc. contained in the Registration Statement on Form S-1 (File No. 333-296958), which is incorporated by reference in this Registration Statement on Form S-1MEF. We consent to the incorporation by reference of the aforementioned report in this Registration Statement, and to the use of our name as it appears under the caption “Experts” in the prospectus incorporated by reference in this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ectPr>
          <w:pgSz w:w="11900" w:h="16838" w:orient="portrait"/>
          <w:cols w:equalWidth="0" w:num="1">
            <w:col w:w="11240"/>
          </w:cols>
          <w:pgMar w:left="320" w:top="10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PUBLIC ACCOUNTING FIRM</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issued our report dated April 9, 2026, with respect to the consolidated financial statements of A.L. Grading Inc. included in the Current Report on Form 8-K/A filed by Cardinal Infrastructure Group Inc. on May 6, 2026, which is incorporated by reference in the Registration Statement to which this consent is an exhibit. We consent to the incorporation by reference of the aforementioned report in this Registration Statement, and to the use of our name as it appears under the caption “Experts.”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WARREN AVERETT,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ectPr>
          <w:pgSz w:w="11900" w:h="16838" w:orient="portrait"/>
          <w:cols w:equalWidth="0" w:num="1">
            <w:col w:w="11240"/>
          </w:cols>
          <w:pgMar w:left="320" w:top="10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S-1</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Cardinal Infrastructure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2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w:t>
            </w:r>
          </w:p>
        </w:tc>
        <w:tc>
          <w:tcPr>
            <w:tcW w:w="8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457(a)</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287,500</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74.55</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$ 21,433,125.00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0.0001381</w:t>
            </w: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$ 2,959.92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Stock, par value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$0.0001 per share</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1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$ 21,433,125.00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2,959.92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$ 2,959.92</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hanging="292"/>
        <w:spacing w:after="0" w:line="282"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Aggregate Offering Price is estimated solely for the purpose of calculating the registration fee in accordance with Rule 457(a) under the Securities Act of 1933, as amended, and includes the offering price of any additional shares that the underwriters have the option to purchase.</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7"/>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4" Type="http://schemas.openxmlformats.org/officeDocument/2006/relationships/hyperlink" Target="http://www.sec.gov/Archives/edgar/data/2079999/000121390026070633/ea029388203ex2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2026-06-24T20:11:16Z</dcterms:created>
  <dcterms:modified xsi:type="dcterms:W3CDTF">2026-06-24T20:11:16Z</dcterms:modified>
</cp:coreProperties>
</file>