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submitted confidentially to the Securities and Exchange Commission on June 10, 2026.</w:t>
      </w:r>
    </w:p>
    <w:p>
      <w:pPr>
        <w:spacing w:after="0" w:line="31" w:lineRule="exact"/>
        <w:rPr>
          <w:sz w:val="24"/>
          <w:szCs w:val="24"/>
          <w:color w:val="auto"/>
        </w:rPr>
      </w:pPr>
    </w:p>
    <w:p>
      <w:pPr>
        <w:ind w:left="2540" w:right="79" w:hanging="2083"/>
        <w:spacing w:after="0" w:line="260" w:lineRule="auto"/>
        <w:rPr>
          <w:sz w:val="20"/>
          <w:szCs w:val="20"/>
          <w:color w:val="auto"/>
        </w:rPr>
      </w:pPr>
      <w:r>
        <w:rPr>
          <w:rFonts w:ascii="Times New Roman" w:cs="Times New Roman" w:eastAsia="Times New Roman" w:hAnsi="Times New Roman"/>
          <w:sz w:val="18"/>
          <w:szCs w:val="18"/>
          <w:b w:val="1"/>
          <w:bCs w:val="1"/>
          <w:color w:val="auto"/>
        </w:rPr>
        <w:t>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177"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1600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39-3180206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E. Six Forks Road, #300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Raleigh, North Carolina 27609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(919) 324-1964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Tiffany Gidley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E. Six Forks Road,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North Carolina 27609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324-1964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5"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30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Edward S. Best</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Christopher D. Lueking</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Willkie Farr &amp; Gallagher LLP</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Jonathan E. Sarna</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300 North LaSalle Drive</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Chicago, IL 60654</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330 North Wabash Avenue, Suite 2800</w:t>
            </w:r>
          </w:p>
        </w:tc>
      </w:tr>
      <w:tr>
        <w:trPr>
          <w:trHeight w:val="216"/>
        </w:trPr>
        <w:tc>
          <w:tcPr>
            <w:tcW w:w="30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(312) 728-9000</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Chicago, IL 60611</w:t>
            </w:r>
          </w:p>
        </w:tc>
      </w:tr>
      <w:tr>
        <w:trPr>
          <w:trHeight w:val="238"/>
        </w:trPr>
        <w:tc>
          <w:tcPr>
            <w:tcW w:w="3080" w:type="dxa"/>
            <w:vAlign w:val="bottom"/>
          </w:tcPr>
          <w:p>
            <w:pPr>
              <w:spacing w:after="0"/>
              <w:rPr>
                <w:sz w:val="20"/>
                <w:szCs w:val="20"/>
                <w:color w:val="auto"/>
              </w:rPr>
            </w:pPr>
          </w:p>
        </w:tc>
        <w:tc>
          <w:tcPr>
            <w:tcW w:w="36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(312) 876-7700</w:t>
            </w:r>
          </w:p>
        </w:tc>
      </w:tr>
    </w:tbl>
    <w:p>
      <w:pPr>
        <w:spacing w:after="0" w:line="20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49" w:lineRule="exact"/>
        <w:rPr>
          <w:sz w:val="24"/>
          <w:szCs w:val="24"/>
          <w:color w:val="auto"/>
        </w:rPr>
      </w:pPr>
    </w:p>
    <w:p>
      <w:pPr>
        <w:jc w:val="both"/>
        <w:ind w:left="460" w:right="4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registration statement.</w:t>
      </w:r>
    </w:p>
    <w:p>
      <w:pPr>
        <w:spacing w:after="0" w:line="1" w:lineRule="exact"/>
        <w:rPr>
          <w:sz w:val="24"/>
          <w:szCs w:val="24"/>
          <w:color w:val="auto"/>
        </w:rPr>
      </w:pPr>
    </w:p>
    <w:p>
      <w:pPr>
        <w:jc w:val="both"/>
        <w:ind w:left="460" w:right="47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5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820" w:type="dxa"/>
        <w:tblCellMar>
          <w:top w:w="0" w:type="dxa"/>
          <w:left w:w="0" w:type="dxa"/>
          <w:bottom w:w="0" w:type="dxa"/>
          <w:right w:w="0" w:type="dxa"/>
        </w:tblCellMar>
      </w:tblP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2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2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3"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142875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185420</wp:posOffset>
            </wp:positionV>
            <wp:extent cx="514350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14605"/>
                    </a:xfrm>
                    <a:prstGeom prst="rect">
                      <a:avLst/>
                    </a:prstGeom>
                    <a:noFill/>
                  </pic:spPr>
                </pic:pic>
              </a:graphicData>
            </a:graphic>
          </wp:anchor>
        </w:drawing>
      </w:r>
    </w:p>
    <w:p>
      <w:pPr>
        <w:sectPr>
          <w:pgSz w:w="11900" w:h="16838" w:orient="portrait"/>
          <w:cols w:equalWidth="0" w:num="1">
            <w:col w:w="9019"/>
          </w:cols>
          <w:pgMar w:left="1440" w:top="333" w:right="1440"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346075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both"/>
        <w:ind w:left="460" w:right="459"/>
        <w:spacing w:after="0" w:line="247" w:lineRule="auto"/>
        <w:rPr>
          <w:sz w:val="20"/>
          <w:szCs w:val="20"/>
          <w:color w:val="auto"/>
        </w:rPr>
      </w:pPr>
      <w:r>
        <w:rPr>
          <w:rFonts w:ascii="Times New Roman" w:cs="Times New Roman" w:eastAsia="Times New Roman" w:hAnsi="Times New Roman"/>
          <w:sz w:val="20"/>
          <w:szCs w:val="20"/>
          <w:b w:val="1"/>
          <w:bCs w:val="1"/>
          <w:color w:val="D2232A"/>
        </w:rPr>
        <w:t>The information in this preliminary prospectus is not complete and may be changed. The securities described herein may not be sold until the registration statement filed with the Securities and Exchange Commission is effective. This preliminary prospectus is not an offer to sell, nor does it seek an offer to buy, the securities described herein in any jurisdiction where the offer or sale is not permitted.</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color w:val="D2232A"/>
        </w:rPr>
        <w:t>SUBJECT TO COMPLETION, DATED [•], 2026</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Preliminary Prospectus</w:t>
      </w: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150495</wp:posOffset>
            </wp:positionV>
            <wp:extent cx="126873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74" w:lineRule="exact"/>
        <w:rPr>
          <w:sz w:val="20"/>
          <w:szCs w:val="20"/>
          <w:color w:val="auto"/>
        </w:rPr>
      </w:pPr>
    </w:p>
    <w:p>
      <w:pPr>
        <w:ind w:left="880"/>
        <w:spacing w:after="0"/>
        <w:tabs>
          <w:tab w:leader="none" w:pos="2700" w:val="left"/>
        </w:tabs>
        <w:rPr>
          <w:sz w:val="20"/>
          <w:szCs w:val="20"/>
          <w:color w:val="auto"/>
        </w:rPr>
      </w:pPr>
      <w:r>
        <w:rPr>
          <w:rFonts w:ascii="Times New Roman" w:cs="Times New Roman" w:eastAsia="Times New Roman" w:hAnsi="Times New Roman"/>
          <w:sz w:val="20"/>
          <w:szCs w:val="20"/>
          <w:color w:val="auto"/>
        </w:rPr>
        <w:t>We are offering</w:t>
      </w:r>
      <w:r>
        <w:rPr>
          <w:sz w:val="20"/>
          <w:szCs w:val="20"/>
          <w:color w:val="auto"/>
        </w:rPr>
        <w:tab/>
      </w:r>
      <w:r>
        <w:rPr>
          <w:rFonts w:ascii="Times New Roman" w:cs="Times New Roman" w:eastAsia="Times New Roman" w:hAnsi="Times New Roman"/>
          <w:sz w:val="19"/>
          <w:szCs w:val="19"/>
          <w:color w:val="auto"/>
        </w:rPr>
        <w:t>shares of our Class A Common Stock.</w:t>
      </w:r>
    </w:p>
    <w:p>
      <w:pPr>
        <w:spacing w:after="0" w:line="175"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Class A Common Stock is listed on The Nasdaq Global Select Market (“Nasdaq”) under the symbol “CDNL.” On June [•], 2026, the closing price of our common stock on Nasdaq was $[•] per share.</w:t>
      </w:r>
    </w:p>
    <w:p>
      <w:pPr>
        <w:spacing w:after="0" w:line="14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Class A Common Stock involves risks. See “</w:t>
      </w:r>
      <w:r>
        <w:rPr>
          <w:rFonts w:ascii="Times New Roman" w:cs="Times New Roman" w:eastAsia="Times New Roman" w:hAnsi="Times New Roman"/>
          <w:sz w:val="20"/>
          <w:szCs w:val="20"/>
          <w:b w:val="1"/>
          <w:bCs w:val="1"/>
          <w:u w:val="single" w:color="auto"/>
          <w:color w:val="auto"/>
        </w:rPr>
        <w:t>Risk Factors</w:t>
      </w:r>
      <w:r>
        <w:rPr>
          <w:rFonts w:ascii="Times New Roman" w:cs="Times New Roman" w:eastAsia="Times New Roman" w:hAnsi="Times New Roman"/>
          <w:sz w:val="20"/>
          <w:szCs w:val="20"/>
          <w:b w:val="1"/>
          <w:bCs w:val="1"/>
          <w:color w:val="auto"/>
        </w:rPr>
        <w:t>” beginning on page 17 to read about factors you should consider before buying shares of our Class A Common Stock.</w:t>
      </w:r>
    </w:p>
    <w:p>
      <w:pPr>
        <w:spacing w:after="0" w:line="12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0" w:lineRule="exact"/>
        <w:rPr>
          <w:sz w:val="20"/>
          <w:szCs w:val="20"/>
          <w:color w:val="auto"/>
        </w:rPr>
      </w:pPr>
    </w:p>
    <w:p>
      <w:pPr>
        <w:ind w:left="620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Per Share</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Public offering price</w:t>
            </w:r>
          </w:p>
        </w:tc>
        <w:tc>
          <w:tcPr>
            <w:tcW w:w="106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8"/>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Underwriting discounts and commissions</w:t>
            </w:r>
            <w:r>
              <w:rPr>
                <w:rFonts w:ascii="Times New Roman" w:cs="Times New Roman" w:eastAsia="Times New Roman" w:hAnsi="Times New Roman"/>
                <w:sz w:val="10"/>
                <w:szCs w:val="10"/>
                <w:color w:val="auto"/>
              </w:rPr>
              <w:t>(1)</w:t>
            </w:r>
          </w:p>
        </w:tc>
        <w:tc>
          <w:tcPr>
            <w:tcW w:w="2220" w:type="dxa"/>
            <w:vAlign w:val="bottom"/>
            <w:gridSpan w:val="2"/>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3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to us (before expenses)</w:t>
            </w:r>
          </w:p>
        </w:tc>
        <w:tc>
          <w:tcPr>
            <w:tcW w:w="2220" w:type="dxa"/>
            <w:vAlign w:val="bottom"/>
            <w:tcBorders>
              <w:bottom w:val="single" w:sz="8" w:color="CCEEFF"/>
            </w:tcBorders>
            <w:gridSpan w:val="2"/>
            <w:shd w:val="clear" w:color="auto" w:fill="CCEEFF"/>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8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(1)</w:t>
        <w:tab/>
        <w:t>See “Underwriting (Conflicts of Interest)” for a description of compensation payable to the underwriters.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20"/>
          <w:szCs w:val="20"/>
          <w:color w:val="auto"/>
        </w:rPr>
        <w:t>We have granted the underwriters a 30-day option to purchase up to an additional</w:t>
      </w:r>
    </w:p>
    <w:p>
      <w:pPr>
        <w:spacing w:after="0" w:line="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9"/>
          <w:szCs w:val="19"/>
          <w:color w:val="auto"/>
        </w:rPr>
        <w:t>of Class A Common Stock from us at the public offering price, less the underwriting discount.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shares</w:t>
      </w:r>
    </w:p>
    <w:p>
      <w:pPr>
        <w:spacing w:after="0" w:line="429" w:lineRule="exact"/>
        <w:rPr>
          <w:sz w:val="20"/>
          <w:szCs w:val="20"/>
          <w:color w:val="auto"/>
        </w:rPr>
      </w:pPr>
    </w:p>
    <w:p>
      <w:pPr>
        <w:sectPr>
          <w:pgSz w:w="11900" w:h="16838" w:orient="portrait"/>
          <w:cols w:equalWidth="0" w:num="2">
            <w:col w:w="7900" w:space="160"/>
            <w:col w:w="959"/>
          </w:cols>
          <w:pgMar w:left="1440" w:top="270" w:right="1440"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20"/>
          <w:szCs w:val="20"/>
          <w:color w:val="auto"/>
        </w:rPr>
        <w:t>The underwriters expect to deliver the shares of Class A Common Stock to purchasers on or</w:t>
      </w:r>
    </w:p>
    <w:p>
      <w:pPr>
        <w:spacing w:after="0" w:line="22" w:lineRule="exact"/>
        <w:rPr>
          <w:sz w:val="20"/>
          <w:szCs w:val="20"/>
          <w:color w:val="auto"/>
        </w:rPr>
      </w:pPr>
    </w:p>
    <w:p>
      <w:pPr>
        <w:ind w:left="460"/>
        <w:spacing w:after="0"/>
        <w:tabs>
          <w:tab w:leader="none" w:pos="1460" w:val="left"/>
        </w:tabs>
        <w:rPr>
          <w:sz w:val="20"/>
          <w:szCs w:val="20"/>
          <w:color w:val="auto"/>
        </w:rPr>
      </w:pPr>
      <w:r>
        <w:rPr>
          <w:rFonts w:ascii="Times New Roman" w:cs="Times New Roman" w:eastAsia="Times New Roman" w:hAnsi="Times New Roman"/>
          <w:sz w:val="20"/>
          <w:szCs w:val="20"/>
          <w:color w:val="auto"/>
        </w:rPr>
        <w:t>about</w:t>
      </w:r>
      <w:r>
        <w:rPr>
          <w:sz w:val="20"/>
          <w:szCs w:val="20"/>
          <w:color w:val="auto"/>
        </w:rPr>
        <w:tab/>
      </w:r>
      <w:r>
        <w:rPr>
          <w:rFonts w:ascii="Times New Roman" w:cs="Times New Roman" w:eastAsia="Times New Roman" w:hAnsi="Times New Roman"/>
          <w:sz w:val="20"/>
          <w:szCs w:val="20"/>
          <w:color w:val="auto"/>
        </w:rPr>
        <w:t>, 2026.</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Book-Running Managers</w:t>
      </w:r>
    </w:p>
    <w:p>
      <w:pPr>
        <w:spacing w:after="0" w:line="173" w:lineRule="exact"/>
        <w:rPr>
          <w:sz w:val="20"/>
          <w:szCs w:val="20"/>
          <w:color w:val="auto"/>
        </w:rPr>
      </w:pPr>
    </w:p>
    <w:p>
      <w:pPr>
        <w:ind w:left="1480"/>
        <w:spacing w:after="0"/>
        <w:tabs>
          <w:tab w:leader="none" w:pos="3680" w:val="left"/>
          <w:tab w:leader="none" w:pos="6300" w:val="left"/>
        </w:tabs>
        <w:rPr>
          <w:sz w:val="20"/>
          <w:szCs w:val="20"/>
          <w:color w:val="auto"/>
        </w:rPr>
      </w:pPr>
      <w:r>
        <w:rPr>
          <w:rFonts w:ascii="Times New Roman" w:cs="Times New Roman" w:eastAsia="Times New Roman" w:hAnsi="Times New Roman"/>
          <w:sz w:val="25"/>
          <w:szCs w:val="25"/>
          <w:b w:val="1"/>
          <w:bCs w:val="1"/>
          <w:color w:val="auto"/>
        </w:rPr>
        <w:t>Stifel</w:t>
      </w:r>
      <w:r>
        <w:rPr>
          <w:sz w:val="20"/>
          <w:szCs w:val="20"/>
          <w:color w:val="auto"/>
        </w:rPr>
        <w:tab/>
      </w:r>
      <w:r>
        <w:rPr>
          <w:rFonts w:ascii="Times New Roman" w:cs="Times New Roman" w:eastAsia="Times New Roman" w:hAnsi="Times New Roman"/>
          <w:sz w:val="25"/>
          <w:szCs w:val="25"/>
          <w:b w:val="1"/>
          <w:bCs w:val="1"/>
          <w:color w:val="auto"/>
        </w:rPr>
        <w:t>William Blair</w:t>
      </w:r>
      <w:r>
        <w:rPr>
          <w:sz w:val="20"/>
          <w:szCs w:val="20"/>
          <w:color w:val="auto"/>
        </w:rPr>
        <w:tab/>
      </w:r>
      <w:r>
        <w:rPr>
          <w:rFonts w:ascii="Times New Roman" w:cs="Times New Roman" w:eastAsia="Times New Roman" w:hAnsi="Times New Roman"/>
          <w:sz w:val="24"/>
          <w:szCs w:val="24"/>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307340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7612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76123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2820" w:type="dxa"/>
            <w:vAlign w:val="bottom"/>
            <w:tcBorders>
              <w:bottom w:val="single" w:sz="8" w:color="0000EE"/>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4460" w:type="dxa"/>
            <w:vAlign w:val="bottom"/>
            <w:gridSpan w:val="8"/>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and the underwriters have not, authorized any other person to provide you with information different from that contained in this prospectus and any free writing prospectus. We and the underwriters take no responsibility for, and can provide no assurance as to the reliability of, any other information that others may give you. We are not, and the underwriters are not, making an offer to sell the securities described herein in any jurisdiction where an offer or sale is not permitted. The information in this prospectus is accurate only as of the date of this prospectus, regardless of the time of delivery of this prospectus or any sale of our Class A Common Stock. Our business, financial condition, results of operations and prospects may have changed since that date.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“Risk Factors” and “Cautionary Statement Regarding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METRICS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Securities and Exchange Commission (“SEC”) rules and regulations. For example, in this prospectus, we present Adjusted Gross Profit, Adjusted Gross Profit Margin, EBITDA, Adjusted EBITDA, EBITDA Margin and Adjusted EBITDA Margin, all of which are non-GAAP financial measures as defined in Item 10(e) of Regulation S-K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“Management’s Discussion and Analysis of Financial Condition and Results of Operations — Non-GAAP Financial Measures.”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Statement Regarding Forward-Looking Statements.” These and other factors could cause results to differ materially from those expressed in the estimates made by the independent parties and by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provides a brief overview of information contained elsewhere in this prospectus. This summary does not contain all of the information that you should consider before making an investment decision with respect to our Class A Common Stock. You should read the entire prospectus carefully, including the information presented under the heading “Management’s Discussion and Analysis of Financial Condition and Results of Operations,” our consolidated financial statements and related notes thereto included elsewhere in this prospectus and the information incorporated by reference into this prospectus. You should also read “Risk Factors” for more information about important risks that you should consider carefully before buying our Class A Common Stock.</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1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 On February 18, 2026, the Company acquired all of the equity interests in A.L. Grading Contractors, LLC (“ALGC”), a fourth-generation provider of comprehensive site development solutions, including grading, underground utilities, erosion control, and clearing, supporting large-scale commercial, industrial, and residential construction in Georgia and South Carolina.</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2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Infrastructure Construction Capabilities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provide a comprehensive set of 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 Relationships with Regional and National Home Builders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Leadership Position in Our Markets</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an established leader in our markets based on our 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Distinct Scale Advantage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significant scale provides us with a distinct competitive advantage in a 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Consistent History of Managing Construction Projects and Contract Risk</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significant experience 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Opportunistic Acquisition Process</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Through March 31, 2026 we had successfully completed seven 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w:t>
      </w:r>
    </w:p>
    <w:p>
      <w:pPr>
        <w:spacing w:after="0" w:line="1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each acquisition, allowing them to remain involved and aligned with our company’s long-term success.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and Skilled Workforce</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Jeremy Spivey, our Chief Executive Officer and founder, has 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Emphasis on Culture</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culture is defined by an execution-focused environment where employees 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06"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compound annual growth rate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entered into the Georgia market in February 2026 via the acquisition of ALGC. We believe we have opportunities to further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closed-circuit television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90"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4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infrastructure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29"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It is currently in the commissioning phase and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4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 2026, we acquired Piedmont Pipe Construction, Inc. (“Piedmont”). Founded in 1999, Piedmont is a leading wet utilities provider across North and South Carolina. Headquartered near Charlotte, NC, this acquisition expands our wet utility capabilities in the high-growth Charlotte market. Piedmont will operate under the Cardinal Civil Contracting brand.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Cardinal Infrastructure Group Inc. (the “Cardinal Group”), a Delaware corporation, was formed on June 12, 2025. On December 11, 2025, the Cardinal Group completed an initial public offering (the “IPO”) of 11,500,000 shares of its Class A Common Stock at a price to the public of $21.00 per share, and on December 12, 2025, pursuant to the exercise in full of the underwriters’ option, the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offering expenses.</w:t>
      </w:r>
    </w:p>
    <w:p>
      <w:pPr>
        <w:spacing w:after="0" w:line="10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Cardinal Group used the net proceeds from the IPO to purchase 14,943,750 newly issued limited liability company units (“LLC Units”) from Cardinal for approximately $258.3 million in aggregate and became the sole managing member of Cardinal. In connection with the IPO, the Cardinal Group also issued 23,387,813 shares of its Class B Common Stock to the equity holders of Cardinal (the “Continuing Equity Holders”), which were equal to the number of LLC Units held by such Continuing Equity Holders, at the time of such issuance of Class B Common Stock, for nominal consideration.</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Prior to the IPO, all of our business was conducted through Cardinal Civil Contracting, LLC, a North Carolina limited liability company (“Cardinal NC”). In connection with the IPO, we undertook certain organizational transactions (the “Reorganization”) as a result of which Cardinal Group is a holding company with no direct operations and our principal asset is our direct equity interest in Cardinal and indirect equity interests in Cardinal’s subsidiaries. As of December 31, 2025, we owned 14,947,318 LLC Units or 39.0% of Cardinal and the Continuing Equity Holders owned the remaining 23,387,813 LLC Units or 61.0%.</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the sole managing member of Cardinal, Cardinal Group operates and controls all of the business and affairs of Cardinal and, through Cardinal, its subsidiaries. As a result, Cardinal Group consolidates Cardinal and has recorded a significant noncontrolling interest in a consolidated entity in the consolidated financial statements for the economic interest in Cardinal held by the Continuing Equity Holders.</w:t>
      </w:r>
    </w:p>
    <w:p>
      <w:pPr>
        <w:spacing w:after="0" w:line="9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organizational structure following the IPO is commonly referred to as an umbrella partnership-C corporation (“Up-C”) structure, which is often used by partnerships and limited liability companies when they undertake an initial public offering of their business. The Up-C structure allows the Continuing Equity Holders to retain their equity ownership in Cardinal and to continue to realize tax benefits associated with owning interests in an entity that is treated as a partnership, or “flow-through” entity, for U.S. federal income tax purposes. In contrast, investors in Cardinal Group hold their equity ownership in Cardinal Group, a Delaware corporation that is a domestic corporation</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for U.S. federal income tax purposes, in the form of shares of Class A Common Stock. One of the potential tax benefits to the Continuing Equity Holders associated with the Up-C structure is that future taxable income of Cardinal that is allocated to the Continuing Equity Holders will be taxed on a flow-through basis and, therefore, will not be subject to corporate taxes at the entity level. Additionally, because the Continuing Equity Holders may have their LLC Units redeemed by Cardinal (or at our option, directly exchanged with Cardinal Group) for newly issued shares of our Class A Common Stock on a one-for-one basis (subject to customary adjustments, including for stock splits, stock dividends, and reclassifications) or, at our option, for cash, the Up-C structure also provides the Continuing Equity Holders with potential liquidity that holders of non-publicly traded limited liability companies are not typically afforded. In connection with any such redemption or exchange of LLC Units, a corresponding number of shares of Class B Common Stock held by the relevant Continuing Equity Holder will automatically be transferred to Cardinal Group for no consideration and be canceled. The Continuing Equity Holders and Cardinal Group also each expect to benefit from the Up-C structure as a result of certain cash tax savings arising from redemptions or exchanges of the Continuing Equity Holder’s LLC Units for Class A Common Stock or cash, and certain other tax benefits covered by the tax receivable agreement (the “Tax Receivable Agreement”) discussed in “Certain Relationships and Related Transactions — Tax Receivable Agreement” in the definitive proxy statement for our 2026 Annual Meeting of Stockholders which is incorporated by reference into our Annual Report on Form 10-K which is incorporated by reference into this prospectus. See also “Risk Factors — Risks Related to Our Organizational Structure.” In general, the Continuing Equity Holders expect to receive payments under the Tax Receivable Agreement in amounts equal to 85.0% of certain tax benefits and Cardinal Group expects to benefit in the form of cash tax savings in amounts equal to 15.0% of such tax benefits. Any payments made by us to the Continuing Equity Holders under the Tax Receivable Agreement will reduce cash otherwise arising from such tax savings. We expect such payments will be substantial.</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Class A Common Stock involves a high degree of risk. You should carefully consider the risks described under “Risk Factors,” together with the other information in this prospectus, before deciding whether to purchase our Class A Common Stock. If any of the risks described under “Risk Factors” actually occur, our business, financial condition, results of operations or prospects could be materially adversely affected. In any such case, the trading price of our Class A Common Stock could decline, and you could lose all or part of your investment. These risks include, but are not limited to, the following:</w:t>
      </w:r>
    </w:p>
    <w:p>
      <w:pPr>
        <w:spacing w:after="0" w:line="108" w:lineRule="exact"/>
        <w:rPr>
          <w:sz w:val="20"/>
          <w:szCs w:val="20"/>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services may decrease during economic recessions or volatile economic cycles, and a reduction in demand and in end markets may adversely affect our business;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could materially and adversely affect us if the construction industry in our current markets should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of materials and subcontractors could increase our costs and impair our ability to complete contracts on a timely basis or at all;</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shortages or price increases could have an adverse impact on operations;</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infrastructure services industry is highly schedule-driven, and our failure to meet the schedule requirements of our contracts could adversely affect our reputation and/or expose us to financial liability;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to lease, acquire and maintain equipment necessary for our operations, and the market value of our owned equipment may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industry is capital-intensive and we have significant fixed and semi-fixed costs, our profitability is sensitive to changes in volume;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and the failure to hedge against them, may adversely affect us;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assess and/or estimate the quality, quantity, availability and cost of aggregates we need to complete a project, particularly for projects in rural areas;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management personnel;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hire, train and retain qualified personnel in a competitive industry;</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can be adversely affected by labor shortages, turnover and labor cost increases;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data privacy and cybersecurity;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which includes expanding into adjacent markets, may not be successful;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over-time revenue recognition (specifically, the recognition of revenue based on the cost-to-cost input method) accounting related to our projects could result in a reduction or elimination of previously reported revenue and profits;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are prepared in accordance with generally accepted accounting principles (“GAAP”), which requires management to make estimates and assumptions that are inherently uncertain. Significant estimates include the impacts of litigation and other loss contingency claims, fair value and other purchase accounting estimates associated with business combinations, and amounts payable pursuant to the Tax Receivable Agreement, including estimates of future taxable income, applicable tax rates, and the timing and amount of realizable tax benefits. If these estimates prove incorrect, previously reported revenue and profits could be reduced or eliminated;</w:t>
      </w:r>
    </w:p>
    <w:p>
      <w:pPr>
        <w:spacing w:after="0" w:line="12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not be realized or may not result in profits and may not accurately represent future revenue;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Holders (as defined herein) continue to have significant influence over us, including control over decisions that require the approval of stockholders;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 forma financial information in this prospectus may make it difficult to accurately predict our costs of operations in the future;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or other claims which could materially and adversely affect 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currently qualify as an “emerging growth company” as defined in the Jumpstart Our Business Startups Act of 2012 (the “JOBS Act”) and could remain an “emerging growth company” until as late as the fifth anniversary following our initial public offering. For so long as we are an “emerging growth company,” we will, among other things:</w:t>
      </w:r>
    </w:p>
    <w:p>
      <w:pPr>
        <w:spacing w:after="0" w:line="112" w:lineRule="exact"/>
        <w:rPr>
          <w:sz w:val="20"/>
          <w:szCs w:val="20"/>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1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381889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Public Company Accounting Oversight Board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9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use an extended transition period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which will occur on the earliest of (i) the last day of the fiscal year following the fifth anniversary of our December 2025 IPO, (ii) the last day of the fiscal year in which we have equal to or more than $1.235 billion in annual revenue, (iii) the date on which we issue more than $1 billion of non-convertible debt over a three-year period or (iv) the date on which we are deemed to be a “large accelerated filer,” as defined in Rule 12b-2 promulgated under the Exchange Act.</w:t>
      </w:r>
    </w:p>
    <w:p>
      <w:pPr>
        <w:spacing w:after="0" w:line="10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See “Risk Factors — We expect that we will no longer qualify as an “emerging growth company” as of December 31, 2027, and, as a result, we will have to comply with increased disclosure and compliance requirements.”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5"/>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Cardinal Infrastructure Group Inc.</w:t>
            </w:r>
          </w:p>
        </w:tc>
        <w:tc>
          <w:tcPr>
            <w:tcW w:w="840" w:type="dxa"/>
            <w:vAlign w:val="bottom"/>
          </w:tcPr>
          <w:p>
            <w:pPr>
              <w:spacing w:after="0"/>
              <w:rPr>
                <w:sz w:val="24"/>
                <w:szCs w:val="24"/>
                <w:color w:val="auto"/>
              </w:rPr>
            </w:pPr>
          </w:p>
        </w:tc>
      </w:tr>
      <w:tr>
        <w:trPr>
          <w:trHeight w:val="40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offered by us</w:t>
            </w:r>
          </w:p>
        </w:tc>
        <w:tc>
          <w:tcPr>
            <w:tcW w:w="1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shares (or</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if the underwriters exercise in</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full their option to purchase additional shares of Class A</w:t>
            </w:r>
          </w:p>
        </w:tc>
      </w:tr>
      <w:tr>
        <w:trPr>
          <w:trHeight w:val="234"/>
        </w:trPr>
        <w:tc>
          <w:tcPr>
            <w:tcW w:w="31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8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the extent that the underwriters sell more than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Class A Common Stock in this offering, we have granted the</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underwriters a 30-day option to purchase up to an aggregate of</w:t>
            </w:r>
          </w:p>
        </w:tc>
      </w:tr>
      <w:tr>
        <w:trPr>
          <w:trHeight w:val="234"/>
        </w:trPr>
        <w:tc>
          <w:tcPr>
            <w:tcW w:w="3140" w:type="dxa"/>
            <w:vAlign w:val="bottom"/>
          </w:tcPr>
          <w:p>
            <w:pPr>
              <w:spacing w:after="0"/>
              <w:rPr>
                <w:sz w:val="20"/>
                <w:szCs w:val="20"/>
                <w:color w:val="auto"/>
              </w:rPr>
            </w:pPr>
          </w:p>
        </w:tc>
        <w:tc>
          <w:tcPr>
            <w:tcW w:w="47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additional shares of our Class A Common Stock.</w:t>
            </w:r>
          </w:p>
        </w:tc>
      </w:tr>
      <w:tr>
        <w:trPr>
          <w:trHeight w:val="38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outstanding</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0"/>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780" w:type="dxa"/>
            <w:vAlign w:val="bottom"/>
          </w:tcPr>
          <w:p>
            <w:pPr>
              <w:spacing w:after="0"/>
              <w:rPr>
                <w:sz w:val="19"/>
                <w:szCs w:val="19"/>
                <w:color w:val="auto"/>
              </w:rPr>
            </w:pP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representing approximately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combined voting power of all of Cardinal Group’s common</w:t>
            </w:r>
          </w:p>
        </w:tc>
      </w:tr>
      <w:tr>
        <w:trPr>
          <w:trHeight w:val="216"/>
        </w:trPr>
        <w:tc>
          <w:tcPr>
            <w:tcW w:w="314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(or</w:t>
            </w:r>
          </w:p>
        </w:tc>
        <w:tc>
          <w:tcPr>
            <w:tcW w:w="3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shares, representing approximately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combined voting power of all of Cardinal Group’s common</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stock if the underwriters exercise in full their option to purchase</w:t>
            </w:r>
          </w:p>
        </w:tc>
      </w:tr>
      <w:tr>
        <w:trPr>
          <w:trHeight w:val="216"/>
        </w:trPr>
        <w:tc>
          <w:tcPr>
            <w:tcW w:w="3140" w:type="dxa"/>
            <w:vAlign w:val="bottom"/>
          </w:tcPr>
          <w:p>
            <w:pPr>
              <w:spacing w:after="0"/>
              <w:rPr>
                <w:sz w:val="18"/>
                <w:szCs w:val="18"/>
                <w:color w:val="auto"/>
              </w:rPr>
            </w:pP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shares of Class A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140" w:type="dxa"/>
            <w:vAlign w:val="bottom"/>
          </w:tcPr>
          <w:p>
            <w:pPr>
              <w:spacing w:after="0"/>
              <w:rPr>
                <w:sz w:val="18"/>
                <w:szCs w:val="18"/>
                <w:color w:val="auto"/>
              </w:rPr>
            </w:pP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economic interest in Cardinal Group, and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140" w:type="dxa"/>
            <w:vAlign w:val="bottom"/>
          </w:tcPr>
          <w:p>
            <w:pPr>
              <w:spacing w:after="0"/>
              <w:rPr>
                <w:sz w:val="18"/>
                <w:szCs w:val="18"/>
                <w:color w:val="auto"/>
              </w:rPr>
            </w:pP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indirect economic interest in Cardinal (or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if the</w:t>
            </w:r>
          </w:p>
        </w:tc>
      </w:tr>
      <w:tr>
        <w:trPr>
          <w:trHeight w:val="216"/>
        </w:trPr>
        <w:tc>
          <w:tcPr>
            <w:tcW w:w="314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underwriters exercise in full their option to purchase additional</w:t>
            </w:r>
          </w:p>
        </w:tc>
      </w:tr>
      <w:tr>
        <w:trPr>
          <w:trHeight w:val="234"/>
        </w:trPr>
        <w:tc>
          <w:tcPr>
            <w:tcW w:w="3140" w:type="dxa"/>
            <w:vAlign w:val="bottom"/>
          </w:tcPr>
          <w:p>
            <w:pPr>
              <w:spacing w:after="0"/>
              <w:rPr>
                <w:sz w:val="20"/>
                <w:szCs w:val="20"/>
                <w:color w:val="auto"/>
              </w:rPr>
            </w:pP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840" w:type="dxa"/>
            <w:vAlign w:val="bottom"/>
          </w:tcPr>
          <w:p>
            <w:pPr>
              <w:spacing w:after="0"/>
              <w:rPr>
                <w:sz w:val="20"/>
                <w:szCs w:val="20"/>
                <w:color w:val="auto"/>
              </w:rPr>
            </w:pPr>
          </w:p>
        </w:tc>
      </w:tr>
    </w:tbl>
    <w:p>
      <w:pPr>
        <w:spacing w:after="0" w:line="167"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B Common Stock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after giving effect to the use of net proceeds as</w:t>
      </w:r>
    </w:p>
    <w:p>
      <w:pPr>
        <w:spacing w:after="0" w:line="27" w:lineRule="exact"/>
        <w:rPr>
          <w:sz w:val="20"/>
          <w:szCs w:val="20"/>
          <w:color w:val="auto"/>
        </w:rPr>
      </w:pPr>
    </w:p>
    <w:p>
      <w:pPr>
        <w:jc w:val="both"/>
        <w:ind w:right="579"/>
        <w:spacing w:after="0" w:line="250" w:lineRule="auto"/>
        <w:rPr>
          <w:sz w:val="20"/>
          <w:szCs w:val="20"/>
          <w:color w:val="auto"/>
        </w:rPr>
      </w:pPr>
      <w:r>
        <w:rPr>
          <w:rFonts w:ascii="Times New Roman" w:cs="Times New Roman" w:eastAsia="Times New Roman" w:hAnsi="Times New Roman"/>
          <w:sz w:val="18"/>
          <w:szCs w:val="18"/>
          <w:color w:val="auto"/>
        </w:rPr>
        <w:t>described below, representing approximately % of the combined voting power of all of Cardinal Group’s common</w:t>
      </w:r>
    </w:p>
    <w:p>
      <w:pPr>
        <w:spacing w:after="0" w:line="1"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stock (or shares, representing approximately % of the combined voting power of all of Cardinal Group’s common stock if the underwriters exercise in full their option to purchase additional shares of Class A Common Stock) and no economic interest in Cardinal Group.</w:t>
      </w:r>
    </w:p>
    <w:p>
      <w:pPr>
        <w:spacing w:after="0" w:line="156" w:lineRule="exact"/>
        <w:rPr>
          <w:sz w:val="20"/>
          <w:szCs w:val="20"/>
          <w:color w:val="auto"/>
        </w:rPr>
      </w:pPr>
    </w:p>
    <w:p>
      <w:pPr>
        <w:sectPr>
          <w:pgSz w:w="11900" w:h="16838" w:orient="portrait"/>
          <w:cols w:equalWidth="0" w:num="2">
            <w:col w:w="3300" w:space="480"/>
            <w:col w:w="5239"/>
          </w:cols>
          <w:pgMar w:left="1440" w:top="270" w:right="1440"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power of Class A Common Stock</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(or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if the underwriters exercise in full their</w:t>
            </w:r>
          </w:p>
        </w:tc>
      </w:tr>
      <w:tr>
        <w:trPr>
          <w:trHeight w:val="234"/>
        </w:trPr>
        <w:tc>
          <w:tcPr>
            <w:tcW w:w="316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option to purchase additional shares of Class A Common Stock).</w:t>
            </w:r>
          </w:p>
        </w:tc>
      </w:tr>
      <w:tr>
        <w:trPr>
          <w:trHeight w:val="38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power of Class B Common Stock</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(or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if the underwriters exercise in full their</w:t>
            </w:r>
          </w:p>
        </w:tc>
      </w:tr>
      <w:tr>
        <w:trPr>
          <w:trHeight w:val="234"/>
        </w:trPr>
        <w:tc>
          <w:tcPr>
            <w:tcW w:w="316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option to purchase additional shares of Class A Common Stock).</w:t>
            </w:r>
          </w:p>
        </w:tc>
      </w:tr>
      <w:tr>
        <w:trPr>
          <w:trHeight w:val="38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LLC Units to be held by us immediately</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36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LLC Units, representing approximately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16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economic  interest</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Cardinal</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LLC  Units,</w:t>
            </w:r>
          </w:p>
        </w:tc>
      </w:tr>
      <w:tr>
        <w:trPr>
          <w:trHeight w:val="216"/>
        </w:trPr>
        <w:tc>
          <w:tcPr>
            <w:tcW w:w="3160" w:type="dxa"/>
            <w:vAlign w:val="bottom"/>
          </w:tcPr>
          <w:p>
            <w:pPr>
              <w:spacing w:after="0"/>
              <w:rPr>
                <w:sz w:val="18"/>
                <w:szCs w:val="18"/>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representing approximately 39.0% of the economic interest in</w:t>
            </w:r>
          </w:p>
        </w:tc>
      </w:tr>
      <w:tr>
        <w:trPr>
          <w:trHeight w:val="216"/>
        </w:trPr>
        <w:tc>
          <w:tcPr>
            <w:tcW w:w="3160" w:type="dxa"/>
            <w:vAlign w:val="bottom"/>
          </w:tcPr>
          <w:p>
            <w:pPr>
              <w:spacing w:after="0"/>
              <w:rPr>
                <w:sz w:val="18"/>
                <w:szCs w:val="18"/>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Cardinal if the underwriters exercise in full their option to</w:t>
            </w:r>
          </w:p>
        </w:tc>
      </w:tr>
      <w:tr>
        <w:trPr>
          <w:trHeight w:val="234"/>
        </w:trPr>
        <w:tc>
          <w:tcPr>
            <w:tcW w:w="316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purchase additional shares of Class A Common Stock).</w:t>
            </w:r>
          </w:p>
        </w:tc>
      </w:tr>
      <w:tr>
        <w:trPr>
          <w:trHeight w:val="38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LLC Units to be held by the Continuing</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Holders immediately after this</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476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w w:val="99"/>
              </w:rPr>
              <w:t>LLC Units after giving effect to the use of net proceeds as</w:t>
            </w:r>
          </w:p>
        </w:tc>
      </w:tr>
      <w:tr>
        <w:trPr>
          <w:trHeight w:val="216"/>
        </w:trPr>
        <w:tc>
          <w:tcPr>
            <w:tcW w:w="3160" w:type="dxa"/>
            <w:vAlign w:val="bottom"/>
          </w:tcPr>
          <w:p>
            <w:pPr>
              <w:spacing w:after="0"/>
              <w:rPr>
                <w:sz w:val="18"/>
                <w:szCs w:val="18"/>
                <w:color w:val="auto"/>
              </w:rPr>
            </w:pP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described below, representing approximately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the</w:t>
            </w:r>
          </w:p>
        </w:tc>
      </w:tr>
      <w:tr>
        <w:trPr>
          <w:trHeight w:val="216"/>
        </w:trPr>
        <w:tc>
          <w:tcPr>
            <w:tcW w:w="3160" w:type="dxa"/>
            <w:vAlign w:val="bottom"/>
          </w:tcPr>
          <w:p>
            <w:pPr>
              <w:spacing w:after="0"/>
              <w:rPr>
                <w:sz w:val="18"/>
                <w:szCs w:val="18"/>
                <w:color w:val="auto"/>
              </w:rPr>
            </w:pP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economic interest in Cardinal (or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LLC units, representing</w:t>
            </w:r>
          </w:p>
        </w:tc>
      </w:tr>
      <w:tr>
        <w:trPr>
          <w:trHeight w:val="216"/>
        </w:trPr>
        <w:tc>
          <w:tcPr>
            <w:tcW w:w="316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approximately</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of the economic interest in Cardinal if</w:t>
            </w:r>
          </w:p>
        </w:tc>
      </w:tr>
      <w:tr>
        <w:trPr>
          <w:trHeight w:val="216"/>
        </w:trPr>
        <w:tc>
          <w:tcPr>
            <w:tcW w:w="3160" w:type="dxa"/>
            <w:vAlign w:val="bottom"/>
          </w:tcPr>
          <w:p>
            <w:pPr>
              <w:spacing w:after="0"/>
              <w:rPr>
                <w:sz w:val="18"/>
                <w:szCs w:val="18"/>
                <w:color w:val="auto"/>
              </w:rPr>
            </w:pPr>
          </w:p>
        </w:tc>
        <w:tc>
          <w:tcPr>
            <w:tcW w:w="4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underwriters  exercise  in  full  their  option  to  purchase</w:t>
            </w:r>
          </w:p>
        </w:tc>
      </w:tr>
      <w:tr>
        <w:trPr>
          <w:trHeight w:val="234"/>
        </w:trPr>
        <w:tc>
          <w:tcPr>
            <w:tcW w:w="3160" w:type="dxa"/>
            <w:vAlign w:val="bottom"/>
          </w:tcPr>
          <w:p>
            <w:pPr>
              <w:spacing w:after="0"/>
              <w:rPr>
                <w:sz w:val="20"/>
                <w:szCs w:val="20"/>
                <w:color w:val="auto"/>
              </w:rPr>
            </w:pPr>
          </w:p>
        </w:tc>
        <w:tc>
          <w:tcPr>
            <w:tcW w:w="3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additional shares of Class A Common Stock).</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073515"/>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sectPr>
      </w:pPr>
    </w:p>
    <w:p>
      <w:pPr>
        <w:spacing w:after="0" w:line="395"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Cardinal limited liability operating agreement (the “Cardinal Operating Agreement”) will require that we and Cardinal at all times maintain a one-to-one ratio between the number of shares of Class A Common Stock issued by us and the number of LLC Units owned by us.</w:t>
      </w:r>
    </w:p>
    <w:p>
      <w:pPr>
        <w:spacing w:after="0" w:line="152" w:lineRule="exact"/>
        <w:rPr>
          <w:sz w:val="20"/>
          <w:szCs w:val="20"/>
          <w:color w:val="auto"/>
        </w:rPr>
      </w:pPr>
    </w:p>
    <w:p>
      <w:pPr>
        <w:sectPr>
          <w:pgSz w:w="11900" w:h="16838" w:orient="portrait"/>
          <w:cols w:equalWidth="0" w:num="2">
            <w:col w:w="3260" w:space="520"/>
            <w:col w:w="5239"/>
          </w:cols>
          <w:pgMar w:left="1440" w:top="270" w:right="1440" w:bottom="1122"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Ratio of Shares of Class B Common</w:t>
      </w:r>
    </w:p>
    <w:p>
      <w:pPr>
        <w:spacing w:after="0" w:line="31"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Stock to LLC Units</w:t>
      </w:r>
      <w:r>
        <w:rPr>
          <w:sz w:val="20"/>
          <w:szCs w:val="20"/>
          <w:color w:val="auto"/>
        </w:rPr>
        <w:tab/>
      </w:r>
      <w:r>
        <w:rPr>
          <w:rFonts w:ascii="Times New Roman" w:cs="Times New Roman" w:eastAsia="Times New Roman" w:hAnsi="Times New Roman"/>
          <w:sz w:val="18"/>
          <w:szCs w:val="18"/>
          <w:color w:val="auto"/>
        </w:rPr>
        <w:t>Our amended and restated certificate of incorporation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“A&amp;R Charter”) and the Cardinal Operating Agreement will</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 that we and Cardinal at all times maintain a one-to-one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ratio between the number of shares of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owned by the Continuing Equity Holders and their respective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permitted transferees and the number of LLC Units owned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Continuing Equity Holders and their respective 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Immediately after the Transactions, the Continuing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Equity Holders will together own 100% of the outstanding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Permitted Holders of Shares of Class B</w:t>
      </w:r>
    </w:p>
    <w:p>
      <w:pPr>
        <w:spacing w:after="0" w:line="31" w:lineRule="exact"/>
        <w:rPr>
          <w:sz w:val="20"/>
          <w:szCs w:val="20"/>
          <w:color w:val="auto"/>
        </w:rPr>
      </w:pPr>
    </w:p>
    <w:p>
      <w:pPr>
        <w:ind w:left="720"/>
        <w:spacing w:after="0"/>
        <w:tabs>
          <w:tab w:leader="none" w:pos="3760" w:val="left"/>
          <w:tab w:leader="none" w:pos="4280" w:val="left"/>
          <w:tab w:leader="none" w:pos="4640" w:val="left"/>
          <w:tab w:leader="none" w:pos="5600" w:val="left"/>
          <w:tab w:leader="none" w:pos="6240" w:val="left"/>
          <w:tab w:leader="none" w:pos="6960" w:val="left"/>
          <w:tab w:leader="none" w:pos="7360" w:val="left"/>
          <w:tab w:leader="none" w:pos="7740" w:val="left"/>
        </w:tabs>
        <w:rPr>
          <w:sz w:val="20"/>
          <w:szCs w:val="20"/>
          <w:color w:val="auto"/>
        </w:rPr>
      </w:pPr>
      <w:r>
        <w:rPr>
          <w:rFonts w:ascii="Times New Roman" w:cs="Times New Roman" w:eastAsia="Times New Roman" w:hAnsi="Times New Roman"/>
          <w:sz w:val="18"/>
          <w:szCs w:val="18"/>
          <w:b w:val="1"/>
          <w:bCs w:val="1"/>
          <w:color w:val="auto"/>
        </w:rPr>
        <w:t>Common Stock</w:t>
      </w:r>
      <w:r>
        <w:rPr>
          <w:sz w:val="20"/>
          <w:szCs w:val="20"/>
          <w:color w:val="auto"/>
        </w:rPr>
        <w:tab/>
      </w:r>
      <w:r>
        <w:rPr>
          <w:rFonts w:ascii="Times New Roman" w:cs="Times New Roman" w:eastAsia="Times New Roman" w:hAnsi="Times New Roman"/>
          <w:sz w:val="18"/>
          <w:szCs w:val="18"/>
          <w:color w:val="auto"/>
        </w:rPr>
        <w:t>Only</w:t>
        <w:tab/>
        <w:t>the</w:t>
        <w:tab/>
        <w:t>Continuing</w:t>
        <w:tab/>
        <w:t>Equity</w:t>
        <w:tab/>
        <w:t>Holders</w:t>
        <w:tab/>
        <w:t>and</w:t>
        <w:tab/>
        <w:t>the</w:t>
      </w:r>
      <w:r>
        <w:rPr>
          <w:sz w:val="20"/>
          <w:szCs w:val="20"/>
          <w:color w:val="auto"/>
        </w:rPr>
        <w:tab/>
      </w:r>
      <w:r>
        <w:rPr>
          <w:rFonts w:ascii="Times New Roman" w:cs="Times New Roman" w:eastAsia="Times New Roman" w:hAnsi="Times New Roman"/>
          <w:sz w:val="17"/>
          <w:szCs w:val="17"/>
          <w:color w:val="auto"/>
        </w:rPr>
        <w:t>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of Class B Common Stock as described in this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prospectus will be permitted to hold shares of our Class B</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Shares  of  Class  B  Common  Stock  are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redeemable for shares of Class A Common Stock only together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with an equal number of LLC Units. See “Certain Relationships</w:t>
      </w:r>
    </w:p>
    <w:p>
      <w:pPr>
        <w:spacing w:after="0" w:line="9" w:lineRule="exact"/>
        <w:rPr>
          <w:sz w:val="20"/>
          <w:szCs w:val="20"/>
          <w:color w:val="auto"/>
        </w:rPr>
      </w:pPr>
    </w:p>
    <w:p>
      <w:pPr>
        <w:ind w:left="3780"/>
        <w:spacing w:after="0"/>
        <w:tabs>
          <w:tab w:leader="none" w:pos="4200" w:val="left"/>
          <w:tab w:leader="none" w:pos="4920" w:val="left"/>
          <w:tab w:leader="none" w:pos="5480" w:val="left"/>
          <w:tab w:leader="none" w:pos="6560" w:val="left"/>
          <w:tab w:leader="none" w:pos="6920" w:val="left"/>
          <w:tab w:leader="none" w:pos="7700" w:val="left"/>
        </w:tabs>
        <w:rPr>
          <w:sz w:val="20"/>
          <w:szCs w:val="20"/>
          <w:color w:val="auto"/>
        </w:rPr>
      </w:pPr>
      <w:r>
        <w:rPr>
          <w:rFonts w:ascii="Times New Roman" w:cs="Times New Roman" w:eastAsia="Times New Roman" w:hAnsi="Times New Roman"/>
          <w:sz w:val="18"/>
          <w:szCs w:val="18"/>
          <w:color w:val="auto"/>
        </w:rPr>
        <w:t>and</w:t>
        <w:tab/>
        <w:t>Related</w:t>
        <w:tab/>
        <w:t>Party</w:t>
        <w:tab/>
        <w:t>Transactions</w:t>
        <w:tab/>
        <w:t>—</w:t>
        <w:tab/>
        <w:t>Cardinal</w:t>
        <w:tab/>
        <w:t>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in the definitive proxy statement for our 2026</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Annual Meeting of Stockholders which is incorporated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reference into our Annual Report on Form 10-K which 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incorporated by reference into this prospectus.</w:t>
      </w:r>
    </w:p>
    <w:p>
      <w:pPr>
        <w:spacing w:after="0" w:line="176"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Each share of our Class A Common Stock entitles its holder 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one vote on all matters on which stockholders are entitled 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vote generally. Each share of our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entitles  its  holder  to  one  vote  on  all  matters  on  which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are entitled to vote generally. Holders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and Class B Common Stock vote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together as a single class on all matters presented to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for their vote or approval, except as otherwise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required  by  applicable  law  or  by  our  A&amp;R  Charter.  See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Rights of Holders of LLC</w:t>
      </w:r>
    </w:p>
    <w:p>
      <w:pPr>
        <w:spacing w:after="0" w:line="31" w:lineRule="exact"/>
        <w:rPr>
          <w:sz w:val="20"/>
          <w:szCs w:val="20"/>
          <w:color w:val="auto"/>
        </w:rPr>
      </w:pPr>
    </w:p>
    <w:p>
      <w:pPr>
        <w:ind w:left="720"/>
        <w:spacing w:after="0"/>
        <w:tabs>
          <w:tab w:leader="none" w:pos="3760" w:val="left"/>
          <w:tab w:leader="none" w:pos="4200" w:val="left"/>
          <w:tab w:leader="none" w:pos="5160" w:val="left"/>
          <w:tab w:leader="none" w:pos="5780" w:val="left"/>
          <w:tab w:leader="none" w:pos="6500" w:val="left"/>
          <w:tab w:leader="none" w:pos="7000" w:val="left"/>
          <w:tab w:leader="none" w:pos="7660" w:val="left"/>
          <w:tab w:leader="none" w:pos="7940" w:val="left"/>
        </w:tabs>
        <w:rPr>
          <w:sz w:val="20"/>
          <w:szCs w:val="20"/>
          <w:color w:val="auto"/>
        </w:rPr>
      </w:pPr>
      <w:r>
        <w:rPr>
          <w:rFonts w:ascii="Times New Roman" w:cs="Times New Roman" w:eastAsia="Times New Roman" w:hAnsi="Times New Roman"/>
          <w:sz w:val="18"/>
          <w:szCs w:val="18"/>
          <w:b w:val="1"/>
          <w:bCs w:val="1"/>
          <w:color w:val="auto"/>
        </w:rPr>
        <w:t>Units</w:t>
      </w:r>
      <w:r>
        <w:rPr>
          <w:sz w:val="20"/>
          <w:szCs w:val="20"/>
          <w:color w:val="auto"/>
        </w:rPr>
        <w:tab/>
      </w:r>
      <w:r>
        <w:rPr>
          <w:rFonts w:ascii="Times New Roman" w:cs="Times New Roman" w:eastAsia="Times New Roman" w:hAnsi="Times New Roman"/>
          <w:sz w:val="18"/>
          <w:szCs w:val="18"/>
          <w:color w:val="auto"/>
        </w:rPr>
        <w:t>The</w:t>
        <w:tab/>
        <w:t>Continuing</w:t>
        <w:tab/>
        <w:t>Equity</w:t>
        <w:tab/>
        <w:t>Holders</w:t>
        <w:tab/>
        <w:t>may,</w:t>
        <w:tab/>
        <w:t>subject</w:t>
        <w:tab/>
        <w:t>to</w:t>
      </w:r>
      <w:r>
        <w:rPr>
          <w:sz w:val="20"/>
          <w:szCs w:val="20"/>
          <w:color w:val="auto"/>
        </w:rPr>
        <w:tab/>
      </w:r>
      <w:r>
        <w:rPr>
          <w:rFonts w:ascii="Times New Roman" w:cs="Times New Roman" w:eastAsia="Times New Roman" w:hAnsi="Times New Roman"/>
          <w:sz w:val="17"/>
          <w:szCs w:val="17"/>
          <w:color w:val="auto"/>
        </w:rPr>
        <w:t>certain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exceptions, from time to time at each of their options require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Cardinal to redeem (the “Redemption Right”) all or a portion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their LLC Units in exchange for, at our election (determined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solely by our independent directors (within the meaning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Nasdaq rules) who are disinterested), newly-issued shares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on a one-for-one basis (subject to</w:t>
      </w:r>
    </w:p>
    <w:p>
      <w:pPr>
        <w:spacing w:after="0" w:line="9" w:lineRule="exact"/>
        <w:rPr>
          <w:sz w:val="20"/>
          <w:szCs w:val="20"/>
          <w:color w:val="auto"/>
        </w:rPr>
      </w:pPr>
    </w:p>
    <w:p>
      <w:pPr>
        <w:ind w:left="3780"/>
        <w:spacing w:after="0"/>
        <w:tabs>
          <w:tab w:leader="none" w:pos="4660" w:val="left"/>
          <w:tab w:leader="none" w:pos="5720" w:val="left"/>
          <w:tab w:leader="none" w:pos="6560" w:val="left"/>
          <w:tab w:leader="none" w:pos="6920" w:val="left"/>
          <w:tab w:leader="none" w:pos="7460" w:val="left"/>
          <w:tab w:leader="none" w:pos="8040" w:val="left"/>
        </w:tabs>
        <w:rPr>
          <w:sz w:val="20"/>
          <w:szCs w:val="20"/>
          <w:color w:val="auto"/>
        </w:rPr>
      </w:pPr>
      <w:r>
        <w:rPr>
          <w:rFonts w:ascii="Times New Roman" w:cs="Times New Roman" w:eastAsia="Times New Roman" w:hAnsi="Times New Roman"/>
          <w:sz w:val="18"/>
          <w:szCs w:val="18"/>
          <w:color w:val="auto"/>
        </w:rPr>
        <w:t>customary</w:t>
        <w:tab/>
        <w:t>adjustments,</w:t>
        <w:tab/>
        <w:t>including</w:t>
        <w:tab/>
        <w:t>for</w:t>
        <w:tab/>
        <w:t>stock</w:t>
        <w:tab/>
        <w:t>splits,</w:t>
        <w:tab/>
        <w:t>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dividends, and reclassifications) or a cash payment equal to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volume weighted average market price of one share of our</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Class A Common Stock for each LLC Unit so redeemed, in each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case, in accordance with the terms of the Cardinal 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(the “Redemption Right”); provided that, at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election (determined solely by our independent directors (within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meaning of Nasdaq rules) who are disinterested), we may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effect a direct exchange by Cardinal Group of such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or such cash, as applicable, for such LLC Units.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Simultaneously with the payment of cash or shares of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as</w:t>
      </w:r>
    </w:p>
    <w:p>
      <w:pPr>
        <w:sectPr>
          <w:pgSz w:w="11900" w:h="16838" w:orient="portrait"/>
          <w:cols w:equalWidth="0" w:num="1">
            <w:col w:w="9019"/>
          </w:cols>
          <w:pgMar w:left="1440" w:top="270" w:right="1440" w:bottom="1122"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8677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jc w:val="both"/>
        <w:ind w:left="3780" w:right="559"/>
        <w:spacing w:after="0" w:line="252" w:lineRule="auto"/>
        <w:rPr>
          <w:sz w:val="20"/>
          <w:szCs w:val="20"/>
          <w:color w:val="auto"/>
        </w:rPr>
      </w:pPr>
      <w:r>
        <w:rPr>
          <w:rFonts w:ascii="Times New Roman" w:cs="Times New Roman" w:eastAsia="Times New Roman" w:hAnsi="Times New Roman"/>
          <w:sz w:val="18"/>
          <w:szCs w:val="18"/>
          <w:color w:val="auto"/>
        </w:rPr>
        <w:t>applicable, in connection with a redemption or exchange of LLC Units pursuant to the terms of the Cardinal Operating Agreement, a number of shares of our Class B Common Stock registered in the name of the redeeming or exchanging Continuing Equity Holder and permitted transferees will automatically be transferred to us for no consideration on a one-for-one basis with the number of LLC Units so redeemed or exchanged and such shares of Class B Common Stock will be canceled. See “Certain Relationships and Related Party Transactions — Cardinal Operating Agreement” in the definitive proxy statement for our 2026 Annual Meeting of Stockholders which is incorporated by reference into our Annual Report on Form 10-K which is incorporated by reference into this prospectus.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We expect to receive $</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from the sale of Class 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Common  Stock  by  us  in  this  offering,  after  deducting</w:t>
            </w:r>
          </w:p>
        </w:tc>
      </w:tr>
      <w:tr>
        <w:trPr>
          <w:trHeight w:val="216"/>
        </w:trPr>
        <w:tc>
          <w:tcPr>
            <w:tcW w:w="2380" w:type="dxa"/>
            <w:vAlign w:val="bottom"/>
          </w:tcPr>
          <w:p>
            <w:pPr>
              <w:spacing w:after="0"/>
              <w:rPr>
                <w:sz w:val="18"/>
                <w:szCs w:val="18"/>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underwriting discounts and commissions (or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net proceeds if the underwriters exercise in full their option to</w:t>
            </w:r>
          </w:p>
        </w:tc>
      </w:tr>
      <w:tr>
        <w:trPr>
          <w:trHeight w:val="216"/>
        </w:trPr>
        <w:tc>
          <w:tcPr>
            <w:tcW w:w="2380" w:type="dxa"/>
            <w:vAlign w:val="bottom"/>
          </w:tcPr>
          <w:p>
            <w:pPr>
              <w:spacing w:after="0"/>
              <w:rPr>
                <w:sz w:val="18"/>
                <w:szCs w:val="18"/>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purchase</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w:t>
            </w:r>
          </w:p>
        </w:tc>
      </w:tr>
      <w:tr>
        <w:trPr>
          <w:trHeight w:val="234"/>
        </w:trPr>
        <w:tc>
          <w:tcPr>
            <w:tcW w:w="2380" w:type="dxa"/>
            <w:vAlign w:val="bottom"/>
          </w:tcPr>
          <w:p>
            <w:pPr>
              <w:spacing w:after="0"/>
              <w:rPr>
                <w:sz w:val="20"/>
                <w:szCs w:val="20"/>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from us).</w:t>
            </w:r>
          </w:p>
        </w:tc>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6"/>
        </w:trPr>
        <w:tc>
          <w:tcPr>
            <w:tcW w:w="2380" w:type="dxa"/>
            <w:vAlign w:val="bottom"/>
          </w:tcPr>
          <w:p>
            <w:pPr>
              <w:spacing w:after="0"/>
              <w:rPr>
                <w:sz w:val="24"/>
                <w:szCs w:val="24"/>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estimate  that  the  offering  expenses  (other  than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underwriting discount and commissions) will be approximately</w:t>
            </w:r>
          </w:p>
        </w:tc>
      </w:tr>
      <w:tr>
        <w:trPr>
          <w:trHeight w:val="216"/>
        </w:trPr>
        <w:tc>
          <w:tcPr>
            <w:tcW w:w="238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million. All of such offering expenses will be paid for</w:t>
            </w:r>
          </w:p>
        </w:tc>
      </w:tr>
      <w:tr>
        <w:trPr>
          <w:trHeight w:val="234"/>
        </w:trPr>
        <w:tc>
          <w:tcPr>
            <w:tcW w:w="2380" w:type="dxa"/>
            <w:vAlign w:val="bottom"/>
          </w:tcPr>
          <w:p>
            <w:pPr>
              <w:spacing w:after="0"/>
              <w:rPr>
                <w:sz w:val="20"/>
                <w:szCs w:val="20"/>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or otherwise borne by Cardinal.</w:t>
            </w:r>
          </w:p>
        </w:tc>
        <w:tc>
          <w:tcPr>
            <w:tcW w:w="1020" w:type="dxa"/>
            <w:vAlign w:val="bottom"/>
          </w:tcPr>
          <w:p>
            <w:pPr>
              <w:spacing w:after="0"/>
              <w:rPr>
                <w:sz w:val="20"/>
                <w:szCs w:val="20"/>
                <w:color w:val="auto"/>
              </w:rPr>
            </w:pPr>
          </w:p>
        </w:tc>
      </w:tr>
      <w:tr>
        <w:trPr>
          <w:trHeight w:val="346"/>
        </w:trPr>
        <w:tc>
          <w:tcPr>
            <w:tcW w:w="2380" w:type="dxa"/>
            <w:vAlign w:val="bottom"/>
          </w:tcPr>
          <w:p>
            <w:pPr>
              <w:spacing w:after="0"/>
              <w:rPr>
                <w:sz w:val="24"/>
                <w:szCs w:val="24"/>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repay</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approximately $33 million of borrowings outstanding under our</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October 2025 Credit Facility and for general corporate purposes,</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which may include funding for acquisitions, working capital</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requirements,  capital  expenditures  and  the  repayment,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refinancing, redemption or repurchase of indebtedness or other</w:t>
            </w:r>
          </w:p>
        </w:tc>
      </w:tr>
      <w:tr>
        <w:trPr>
          <w:trHeight w:val="234"/>
        </w:trPr>
        <w:tc>
          <w:tcPr>
            <w:tcW w:w="2380" w:type="dxa"/>
            <w:vAlign w:val="bottom"/>
          </w:tcPr>
          <w:p>
            <w:pPr>
              <w:spacing w:after="0"/>
              <w:rPr>
                <w:sz w:val="20"/>
                <w:szCs w:val="20"/>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securities. See “Use of Proceeds.”</w:t>
            </w:r>
          </w:p>
        </w:tc>
        <w:tc>
          <w:tcPr>
            <w:tcW w:w="1020" w:type="dxa"/>
            <w:vAlign w:val="bottom"/>
          </w:tcPr>
          <w:p>
            <w:pPr>
              <w:spacing w:after="0"/>
              <w:rPr>
                <w:sz w:val="20"/>
                <w:szCs w:val="20"/>
                <w:color w:val="auto"/>
              </w:rPr>
            </w:pPr>
          </w:p>
        </w:tc>
      </w:tr>
      <w:tr>
        <w:trPr>
          <w:trHeight w:val="37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Because an affiliate of Truist Securities, Inc. is a lender under</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our October 2025 Credit Facility and will receive 5% or more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net proceeds of this offering due to the repayment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borrowings under the October 2025 Credit Facility, Truist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Securities, Inc., an underwriter in this offering, is deemed to</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have a “conflict of interest” under Rule 5121 (“Rule 5121”)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Financial Industry Regulatory Authority, Inc. (“FINRA”).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requirements of FINRA Rule 5121. Pursuant to that rule,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required in connection with the offering as a “bona fide public</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market,” as defined in Rule 5121, exists for our Class 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Common Stock. See “Use of Proceeds” and “Underwriting</w:t>
            </w:r>
          </w:p>
        </w:tc>
      </w:tr>
      <w:tr>
        <w:trPr>
          <w:trHeight w:val="234"/>
        </w:trPr>
        <w:tc>
          <w:tcPr>
            <w:tcW w:w="2380" w:type="dxa"/>
            <w:vAlign w:val="bottom"/>
          </w:tcPr>
          <w:p>
            <w:pPr>
              <w:spacing w:after="0"/>
              <w:rPr>
                <w:sz w:val="20"/>
                <w:szCs w:val="20"/>
                <w:color w:val="auto"/>
              </w:rPr>
            </w:pPr>
          </w:p>
        </w:tc>
        <w:tc>
          <w:tcPr>
            <w:tcW w:w="28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(Conflicts of Interest).”</w:t>
            </w: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8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currently intend to retain all available funds and any future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earnings to fund the development and growth of our business,</w:t>
            </w:r>
          </w:p>
        </w:tc>
      </w:tr>
      <w:tr>
        <w:trPr>
          <w:trHeight w:val="234"/>
        </w:trPr>
        <w:tc>
          <w:tcPr>
            <w:tcW w:w="2380" w:type="dxa"/>
            <w:vAlign w:val="bottom"/>
          </w:tcPr>
          <w:p>
            <w:pPr>
              <w:spacing w:after="0"/>
              <w:rPr>
                <w:sz w:val="20"/>
                <w:szCs w:val="20"/>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and, therefore, we do not anticipate declaring or paying any cash</w:t>
            </w:r>
          </w:p>
        </w:tc>
      </w:tr>
    </w:tbl>
    <w:p>
      <w:pPr>
        <w:jc w:val="both"/>
        <w:ind w:left="3780" w:right="559"/>
        <w:spacing w:after="0" w:line="251" w:lineRule="auto"/>
        <w:rPr>
          <w:sz w:val="20"/>
          <w:szCs w:val="20"/>
          <w:color w:val="auto"/>
        </w:rPr>
      </w:pPr>
      <w:r>
        <w:rPr>
          <w:rFonts w:ascii="Times New Roman" w:cs="Times New Roman" w:eastAsia="Times New Roman" w:hAnsi="Times New Roman"/>
          <w:sz w:val="18"/>
          <w:szCs w:val="18"/>
          <w:color w:val="auto"/>
        </w:rPr>
        <w:t>dividends on our Class A Common Stock. Except in certain limited circumstances, holders of our Class B Common Stock are not entitled to participate in any dividends declared by our board of directors. Because we are a holding company, our ability to pay cash dividends on our Class A Common Stock depends on our receipt of cash distributions from Cardinal. Our October 2025 Credit Facility (as defined below) contains certain covenants that restrict, subject to certain exceptions, our ability to pay dividends.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99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399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3780" w:right="559"/>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 — Liquidity and Sources of Capital — Credit Facilities, Debt and Other Capital.” Our ability to pay dividends may be restricted by the terms of any future credit agreement or any future debt or preferred equity securities of us. Any future determination as to the declaration and payment of dividends, if any, will be at the discretion of our board of directors, subject to the requirements of applicable law, and in compliance with contractual restrictions and covenants in the agreements governing our future indebtedness. Any such determination will also depend upon our business prospects, results of operations, financial condition, cash requirements and availability, industry trends, and other factors that our board of directors may deem relevant. See “Dividend Policy.”</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The Listing and Trading Symbol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3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and all other information set forth in this prospectus before deciding to invest in our Class A Common Stock.</w:t>
      </w:r>
    </w:p>
    <w:p>
      <w:pPr>
        <w:spacing w:after="0" w:line="193"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all information in this prospectus</w:t>
      </w:r>
    </w:p>
    <w:p>
      <w:pPr>
        <w:spacing w:after="0" w:line="27" w:lineRule="exact"/>
        <w:rPr>
          <w:sz w:val="20"/>
          <w:szCs w:val="20"/>
          <w:color w:val="auto"/>
        </w:rPr>
      </w:pPr>
    </w:p>
    <w:p>
      <w:pPr>
        <w:ind w:left="540" w:right="559"/>
        <w:spacing w:after="0" w:line="260" w:lineRule="auto"/>
        <w:rPr>
          <w:sz w:val="20"/>
          <w:szCs w:val="20"/>
          <w:color w:val="auto"/>
        </w:rPr>
      </w:pPr>
      <w:r>
        <w:rPr>
          <w:rFonts w:ascii="Times New Roman" w:cs="Times New Roman" w:eastAsia="Times New Roman" w:hAnsi="Times New Roman"/>
          <w:sz w:val="18"/>
          <w:szCs w:val="18"/>
          <w:color w:val="auto"/>
        </w:rPr>
        <w:t>assumes no exercise by the underwriters of their option to purchase additional shares of Class A Common Stock from us.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1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2162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The following tables present the summary financial and other data for Cardinal Group. As discussed elsewhere in this prospectus, Cardinal is the predecessor of Cardinal Group for financial reporting purposes and the comparative financial information provided prior to September 30, 2025 is that of Cardinal NC as a result of the Cardinal Reorganization. For the avoidance of any doubt, references to “Cardinal” and “Cardinal Historical” are used interchangeably, as appropriate, in the below tables and elsewhere in this prospectus and the financial statements. The summary financial data as of, and for the years ended, December 31, 2025 and 2024, are derived from the audited consolidated financial statements incorporated by reference into this prospectus. The summary financial data for the three months ended March 31, 2026 and 2025 are derived from the unaudited condensed consolidated financial statements incorporated by reference into this prospectus. The unaudited condensed consolidated financial statements have been prepared on the same basis as the audited consolidated financial statements and, in our opinion, include all adjustments, consisting of normal recurring adjustments, necessary to present fairly in all material respects our financial position and results of operations. The results for any interim period are not necessarily indicative of the results that may be expected for the full year. Historical results of operations for the periods presented below are not necessarily indicative of the results to be expected for any future period.</w:t>
      </w:r>
    </w:p>
    <w:p>
      <w:pPr>
        <w:spacing w:after="0" w:line="12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information set forth below should be read together with “Unaudited Pro Forma Condensed Consolidated Financial Information,” “Use of Proceeds,” “Capitalization,” “Management’s Discussion and Analysis of Financial Condition and Results of Operations,” “Our Organizational Structure” and the audited financial statements and the accompanying notes included elsewhere in this prospectus.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Income statement data:</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50" w:lineRule="exact"/>
        <w:rPr>
          <w:sz w:val="20"/>
          <w:szCs w:val="20"/>
          <w:color w:val="auto"/>
        </w:rPr>
      </w:pPr>
    </w:p>
    <w:p>
      <w:pPr>
        <w:ind w:left="900" w:right="240" w:hanging="179"/>
        <w:spacing w:after="0" w:line="266" w:lineRule="auto"/>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0" w:lineRule="exact"/>
        <w:rPr>
          <w:sz w:val="20"/>
          <w:szCs w:val="20"/>
          <w:color w:val="auto"/>
        </w:rPr>
      </w:pPr>
    </w:p>
    <w:p>
      <w:pPr>
        <w:ind w:left="900" w:right="100" w:hanging="179"/>
        <w:spacing w:after="0" w:line="282" w:lineRule="auto"/>
        <w:rPr>
          <w:sz w:val="20"/>
          <w:szCs w:val="20"/>
          <w:color w:val="auto"/>
        </w:rPr>
      </w:pPr>
      <w:r>
        <w:rPr>
          <w:rFonts w:ascii="Times New Roman" w:cs="Times New Roman" w:eastAsia="Times New Roman" w:hAnsi="Times New Roman"/>
          <w:sz w:val="18"/>
          <w:szCs w:val="18"/>
          <w:color w:val="auto"/>
        </w:rPr>
        <w:t>(Gain) on disposal of property and equipment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income before taxes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0" w:lineRule="exact"/>
        <w:rPr>
          <w:sz w:val="20"/>
          <w:szCs w:val="20"/>
          <w:color w:val="auto"/>
        </w:rPr>
      </w:pPr>
    </w:p>
    <w:p>
      <w:pPr>
        <w:ind w:left="720" w:right="40" w:hanging="179"/>
        <w:spacing w:after="0" w:line="273" w:lineRule="auto"/>
        <w:rPr>
          <w:sz w:val="20"/>
          <w:szCs w:val="20"/>
          <w:color w:val="auto"/>
        </w:rPr>
      </w:pPr>
      <w:r>
        <w:rPr>
          <w:rFonts w:ascii="Times New Roman" w:cs="Times New Roman" w:eastAsia="Times New Roman" w:hAnsi="Times New Roman"/>
          <w:sz w:val="18"/>
          <w:szCs w:val="18"/>
          <w:color w:val="auto"/>
        </w:rPr>
        <w:t>Net income, including noncontrolling interests</w:t>
      </w:r>
    </w:p>
    <w:p>
      <w:pPr>
        <w:spacing w:after="0" w:line="2" w:lineRule="exact"/>
        <w:rPr>
          <w:sz w:val="20"/>
          <w:szCs w:val="20"/>
          <w:color w:val="auto"/>
        </w:rPr>
      </w:pPr>
    </w:p>
    <w:p>
      <w:pPr>
        <w:ind w:left="720" w:right="440" w:hanging="179"/>
        <w:spacing w:after="0" w:line="271" w:lineRule="auto"/>
        <w:rPr>
          <w:sz w:val="20"/>
          <w:szCs w:val="20"/>
          <w:color w:val="auto"/>
        </w:rPr>
      </w:pPr>
      <w:r>
        <w:rPr>
          <w:rFonts w:ascii="Times New Roman" w:cs="Times New Roman" w:eastAsia="Times New Roman" w:hAnsi="Times New Roman"/>
          <w:sz w:val="18"/>
          <w:szCs w:val="18"/>
          <w:color w:val="auto"/>
        </w:rPr>
        <w:t>Less: Net income attributable to noncontrolling interests</w:t>
      </w:r>
    </w:p>
    <w:p>
      <w:pPr>
        <w:spacing w:after="0" w:line="1" w:lineRule="exact"/>
        <w:rPr>
          <w:sz w:val="20"/>
          <w:szCs w:val="20"/>
          <w:color w:val="auto"/>
        </w:rPr>
      </w:pPr>
    </w:p>
    <w:p>
      <w:pPr>
        <w:ind w:left="7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Net income attributable to Cardinal Infrastructure Group Inc.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Cardinal Group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2"/>
        </w:trPr>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Pr>
          <w:p>
            <w:pPr>
              <w:spacing w:after="0"/>
              <w:rPr>
                <w:sz w:val="18"/>
                <w:szCs w:val="18"/>
                <w:color w:val="auto"/>
              </w:rPr>
            </w:pP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r>
      <w:tr>
        <w:trPr>
          <w:trHeight w:val="231"/>
        </w:trPr>
        <w:tc>
          <w:tcPr>
            <w:tcW w:w="118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520"/>
        </w:trPr>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98"/>
              </w:rPr>
              <w:t>$ 167,508,716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$ 81,801,265</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$ 456,045,369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$ 315,187,523</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133,319,083</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65,277,978</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359,897,579</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249,888,575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10,142,131</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2,125,970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23,526,023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10,687,302</w:t>
            </w:r>
          </w:p>
        </w:tc>
        <w:tc>
          <w:tcPr>
            <w:tcW w:w="40" w:type="dxa"/>
            <w:vAlign w:val="bottom"/>
          </w:tcPr>
          <w:p>
            <w:pPr>
              <w:spacing w:after="0"/>
              <w:rPr>
                <w:sz w:val="24"/>
                <w:szCs w:val="24"/>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5,702,410</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5,071,341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25,246,451</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40" w:type="dxa"/>
            <w:vAlign w:val="bottom"/>
          </w:tcPr>
          <w:p>
            <w:pPr>
              <w:spacing w:after="0"/>
              <w:rPr>
                <w:sz w:val="24"/>
                <w:szCs w:val="24"/>
                <w:color w:val="auto"/>
              </w:rPr>
            </w:pPr>
          </w:p>
        </w:tc>
      </w:tr>
      <w:tr>
        <w:trPr>
          <w:trHeight w:val="28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3,567,348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1,527,500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7,128,310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(2,397)</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(110,945)</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(157,401)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14,780,141</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7,909,421</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40,404,407</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35,934,366</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533"/>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(2,245,876)</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(1,026,276)</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(6,825,542)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(4,828,058)</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(518,704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(1,456,565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1180" w:type="dxa"/>
            <w:vAlign w:val="bottom"/>
            <w:gridSpan w:val="3"/>
          </w:tcPr>
          <w:p>
            <w:pPr>
              <w:spacing w:after="0"/>
              <w:rPr>
                <w:sz w:val="2"/>
                <w:szCs w:val="2"/>
                <w:color w:val="auto"/>
              </w:rPr>
            </w:pPr>
          </w:p>
        </w:tc>
        <w:tc>
          <w:tcPr>
            <w:tcW w:w="120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1140" w:type="dxa"/>
            <w:vAlign w:val="bottom"/>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(7,344,246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(6,284,623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(1,053,229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12"/>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40" w:type="dxa"/>
            <w:vAlign w:val="bottom"/>
          </w:tcPr>
          <w:p>
            <w:pPr>
              <w:spacing w:after="0"/>
              <w:rPr>
                <w:sz w:val="24"/>
                <w:szCs w:val="24"/>
                <w:color w:val="auto"/>
              </w:rPr>
            </w:pPr>
          </w:p>
        </w:tc>
      </w:tr>
      <w:tr>
        <w:trPr>
          <w:trHeight w:val="486"/>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8,062,598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1,164,764</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8,407,426</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6,939,888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3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3,418,438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5,476,981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22,686,057</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21,357,346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00" w:space="200"/>
            <w:col w:w="55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30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9330690"/>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Cardinal Group</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2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3"/>
          </w:tcPr>
          <w:p>
            <w:pPr>
              <w:jc w:val="center"/>
              <w:ind w:right="7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6"/>
        </w:trPr>
        <w:tc>
          <w:tcPr>
            <w:tcW w:w="28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 average shares of Class A</w:t>
            </w: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15,104,788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14,787,094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15,126,679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14,809,208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980" w:right="559" w:hanging="436"/>
        <w:spacing w:after="0" w:line="281"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represents earnings per share of Class A Common Stock and weighted-average shares of Class A Common Stock outstanding for the period from December 10, 2025 through December 31, 2025, the period following the recapitalization transactions and IPO.</w:t>
      </w: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657,251,915</w:t>
            </w:r>
          </w:p>
        </w:tc>
        <w:tc>
          <w:tcPr>
            <w:tcW w:w="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394,587,355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140,313,821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228,079,082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215,651,152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131,870,656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91,647,314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70,546,789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198,633,570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395,250,329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255,049,532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116,959,845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262,001,586</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139,537,823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23,353,976</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Cash flow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operating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9,317,019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12,092,682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37,900,887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42,629,114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investing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(134,794,623)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(24,221,084)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(101,500,431)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(20,972,527)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financing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72,311,046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13,991,834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139,831,861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(7,960,095)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Financial and Operating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Data (unaudited)</w:t>
            </w:r>
            <w:r>
              <w:rPr>
                <w:rFonts w:ascii="Times New Roman" w:cs="Times New Roman" w:eastAsia="Times New Roman" w:hAnsi="Times New Roman"/>
                <w:sz w:val="20"/>
                <w:szCs w:val="20"/>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24,919,875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9,924,446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63,773,029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46,635,202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34,189,633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16,523,287</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96,147,790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 Margin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24,049,899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14,266,862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72,260,464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53,141,547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26,799,967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14,572,575</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81,465,922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 (period end)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854,000,000</w:t>
            </w:r>
          </w:p>
        </w:tc>
        <w:tc>
          <w:tcPr>
            <w:tcW w:w="130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$ 532,000,000</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682,000,000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980" w:right="559" w:hanging="436"/>
        <w:spacing w:after="0" w:line="272"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definitions and further information about how we calculate financial and operating data, including a reconciliation of Adjusted Gross Profit, Adjusted Gross Profit Margin, EBITDA, Adjusted EBITDA, Adjusted EBITDA Margin and EBITDA Margin, please see “Management’s Discussion and Analysis of Financial Condition and Results of Operations — Non-GAAP Financial Measures” and “— Other Factors Impacting Results of Operations.”</w:t>
      </w:r>
    </w:p>
    <w:p>
      <w:pPr>
        <w:sectPr>
          <w:pgSz w:w="11900" w:h="16838" w:orient="portrait"/>
          <w:cols w:equalWidth="0" w:num="1">
            <w:col w:w="9019"/>
          </w:cols>
          <w:pgMar w:left="1440" w:top="270" w:right="1440" w:bottom="704"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666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1666875"/>
                    </a:xfrm>
                    <a:prstGeom prst="rect">
                      <a:avLst/>
                    </a:prstGeom>
                    <a:noFill/>
                  </pic:spPr>
                </pic:pic>
              </a:graphicData>
            </a:graphic>
          </wp:anchor>
        </w:drawing>
      </w:r>
    </w:p>
    <w:p>
      <w:pPr>
        <w:spacing w:after="0" w:line="183" w:lineRule="exact"/>
        <w:rPr>
          <w:sz w:val="20"/>
          <w:szCs w:val="20"/>
          <w:color w:val="auto"/>
        </w:rPr>
      </w:pPr>
    </w:p>
    <w:p>
      <w:pPr>
        <w:jc w:val="both"/>
        <w:ind w:left="980" w:right="559" w:hanging="436"/>
        <w:spacing w:after="0" w:line="265" w:lineRule="auto"/>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Gross Profit, Adjusted Gross Profit Margin, EBITDA, Adjusted EBITDA, Adjusted EBITDA Margin and EBITDA Margin are included in this prospectus because they are non-GAAP financial measures used by management and our board of directors to assess our financial performance. For definitions of Adjusted Gross Profit, Adjusted Gross Profit Margin, EBITDA, Adjusted EBITDA, EBITDA Margin and Adjusted EBITDA Margin and a reconciliation of each to the most directly comparable financial measures calculated and presented in accordance with GAAP, see “Management’s Discussion and Analysis of Financial Condition and Results of Operations — Non-GAAP Financial Measures.” Our non-GAAP financial measures should not be considered in isolation from, or as substitutes for, financial information prepared in accordance with GAAP. EBITDA, Adjusted EBITDA, EBITDA Margin and Adjusted EBITDA Margin may be different than a similarly titled measure used by other companies.</w:t>
      </w:r>
    </w:p>
    <w:p>
      <w:pPr>
        <w:spacing w:after="0" w:line="1" w:lineRule="exact"/>
        <w:rPr>
          <w:rFonts w:ascii="Times New Roman" w:cs="Times New Roman" w:eastAsia="Times New Roman" w:hAnsi="Times New Roman"/>
          <w:sz w:val="16"/>
          <w:szCs w:val="16"/>
          <w:color w:val="auto"/>
        </w:rPr>
      </w:pPr>
    </w:p>
    <w:p>
      <w:pPr>
        <w:ind w:left="980" w:hanging="436"/>
        <w:spacing w:after="0"/>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and uncertainties described below and the other information included in, or incorporated by reference into, this prospectus, including the consolidated financial statements and related notes thereto and the section titled “Management’s Discussion and Analysis of Financial Condition and Results of Operations,” before deciding whether to purchase our Class A Common Stock. If any of the risks described below actually occur, our business, financial condition, results of operations or prospects could be materially adversely affected. In any such case, the trading price of our Class A Common Stock could decline, and you could lose all or part of your investment. This prospectus also includes or incorporates by reference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may decrease during economic recessions or volatile economic cycles, and a reduction in demand in end markets may adversely affect our business.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generate revenue and profit from infrastructure projects and services, but we do not directly control the process by which such infrastructure projects and services are awarded. The construction industry historically has experienced cyclical fluctuations in financial results due to economic recessions; downturns in business cycles of our customers; supply chain disruptions and the cost or availability of building materials; inflationary pressures; the availability of trade partners, vendors, or other third parties; federal and state income and real estate tax laws, including limitations on, or the elimination of, the deduction of mortgage interest or property tax payments; mortgage financing programs and regulation of lending practices; energy prices; the supply of developable land in our markets and in the United States generally; interest rate fluctuations and other economic factors beyond our control. Many factors, including the financial condition of the infrastructure industry, could adversely affect our customers and their willingness to fund capital expenditures in the future. Demand for public infrastructure projects depends on overall economic conditions, the need for new or replacement infrastructure, the priorities placed on various projects funded by governmental entities and federal, state and local government spending levels. In particular, low tax revenues, credit rating downgrades, budget deficits and financing constraints, including timing and amount of federal funding and competing governmental priorities, could negatively impact the ability of government agencies to fund existing or new public infrastructure projects. Additionally, consolidation, competition or capital constraints in the industries we serve may result in reduced spending by our customers. Any instability in the financial and credit markets could negatively impact our customers’ ability to pay us on a timely basis, or at all, for work on projects already in progress, could cause our customers to delay or cancel construction projects in our contract backlog and could create difficulties for customers to obtain adequate financing to fund new construction projects.</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Economic, regulatory and market conditions affecting our specific end markets may adversely impact the demand for our services, resulting in the delay, reduction or cancellation of certain projects and these conditions may continue to adversely affect us in the future.</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geographic concentration could materially and adversely affect us if the construction industry in our current markets should decline.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currently conduct business primarily in the States of North Carolina, South Carolina and Georgia and our business strategy is focused on the Southeastern United States. A prolonged economic downturn in one or more of the areas in which we operate could have a material adverse effect on our business, prospects, liquidity, financial condition, and results of operations, and a disproportionately greater impact on us than our competitors with larger scale and more diversified operations and geographic footprint. Furthermore, if demand for construction projects in these markets decreases, the demand for our services could decrease, which would have a material adverse effect on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suppliers of materials and subcontractors could increase our costs and impair our ability to complete contracts on a timely basis or at all.</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and availability of the materials required to execute our projects are subject to volatility and disruptions caused by global economic factors that are beyond our control, including, but not limited to, supply chain disruptions, labor shortages, wage pressures, rising inflation and potential economic slowdown or recession, as well as fuel and energy costs, the impact of natural disasters, public health crises, geopolitical conflicts (such as the conflicts in Eastern Europe and the Middle East), and other matters that have impacted or could impact the global economy. If shortages and cost increases in materials and tightness in the labor market persist for a prolonged period of time, and we are unable to offset such cost increases, our profit margins could be adversely impacted.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rely on third party suppliers to provide substantially all of the materials (including aggregates, cement, asphalt, concrete, steel, oil and fuel) for our contracts and third party subcontractors to perform some of the work on many of our projects. Increasing prices of materials and equipment and substantial delays in delivering supplies have and could continue to adversely impact our operations and construction projects. For the past several years, our operating margins have been adversely impacted, and may continue to be impacted, by price increases for certain materials, including fuel, concrete, steel and lumber. To the extent that we are unable to obtain commitments from our suppliers for materials or engage subcontractors, our ability to bid for contracts may be impaired.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Utility shortages or price increases could have an adverse impact on operations.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of the markets in which we operate or plan to operate in the future may experience utility shortages as well as significant increases in utility costs. For example, certain areas of North Carolina have experienced temporary disruptions to sewer system capacity and development in response to municipal infrastructure delays. Additionally, municipalities may restrict or place moratoriums on the availability of utilities, such as electricity, natural gas, water, and sewer taps. We may incur additional costs and may not be able to complete construction on a timely basis if such utility shortages, restrictions, moratoriums, and rate increases continue. In addition, these utility issues may adversely affect the local economies in which we operate, which may reduce demand for construction projects in those markets. Our business, prospects, liquidity, financial condition, and results of operations may be materially and adversely impacted if further utility shortages, restrictions, moratoriums, or rate increases occur in our markets.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majority of our revenues and backlog are derived from fixed-unit price contracts and lump sum contracts. Fixed-unit price contracts require us to provide materials and services at a fixed-unit price based on agreed quantities irrespective of our actual per unit costs. Lump sum contracts require the contract work to be completed for a single price irrespective of our actual costs incurred. We generate profits on fixed unit price and fixed total price contracts only when our revenues exceed our actual costs, which requires us to accurately estimate and control our costs and avoid cost overruns. Therefore, our ability to achieve profitability under such contracts is dependent upon our ability to avoid cost overruns by accurately estimating our costs and then successfully controlling our actual costs. If our cost estimates for a contract are inaccurate, or if we do not perform the contract within our cost estimates, we may incur losses due to cost overruns or the contract may be less profitable than expected. As a result, these types of contracts could negatively affect our cash flow, earnings and financial position.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costs incurred and Gross Profit realized on our contracts can vary, sometimes substantially, from our original estimates due to a variety of factors, that may include, but are not limited to the following:</w:t>
      </w:r>
    </w:p>
    <w:p>
      <w:pPr>
        <w:spacing w:after="0" w:line="9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conditions that differ from those assumed in the original bid or contract;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 or otherwise failing to meet scheduled acceptance dates;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 or contract price adjustments;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(such as stone, gravel, sand and oil for asphalt paving), as well as fuel and lubricants for our equipment;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covered by contractual cost escalators, variability in, and our inability to predict, the costs of diesel fuel, liquid asphalt and cement;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suppliers, subcontractors, designers, engineers or customers to perform their obligations;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customers or personnel;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 government authority, including OSHA;</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 permits or approvals;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claims or demands from third parties for alleged damages arising from the design, construction or use and operation of a project of which our work is a part.</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Public sector customers may seek to impose contractual risk-shifting provisions more aggressively, which could increase risks and adversely affect our cash flow, earnings and financial position.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Further, in most cases, our contracts require completion by a scheduled acceptance date. Failure to timely complete a project could result in additional costs, penalties or liquidated damages being assessed against us, and these could exceed projected profit margins on the contract.</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infrastructure services industry is highly schedule-driven, and our failure to meet the schedule requirements of our contracts could adversely affect our reputation and/or expose us to financial liability.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some instances, including in the case of many of our fixed unit price contracts, we guarantee that we will complete a project by a certain date. Any failure to meet the contractual schedule or satisfy the completion requirements set forth in our contracts could subject us to responsibility for costs resulting from the delay, generally in the form of contractually agreed-upon liquidated damages, liability for our customer’s actual costs arising out of our delay, reduced profits or a loss on that project and/or damage to our reputation, any of which could have a material adverse impact on our financial position, results of operations, cash flows and liquidity.</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service a significant portion of our contracts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thereby reducing contract profitability. Further, new equipment may not be available, or it may not be purchased or rented in a cost effective manner, which could adversely affect our operating results.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maintain or repair equipment ourselves, we may be forced to obtain third party repair services, which could increase our costs. Additionally, we rely on the availability of component parts from suppliers for the maintenance and repair of our equipment. The failure of suppliers to deliver component parts necessary to maintain our equipment could have an adverse effect on our ability to meet our commitments to customers.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equipment needed to provide our services are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plants and equipment necessary to operate our business, or if 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changes, and the failure to hedge against them, may adversely affect us.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borrow money to finance acquisitions of equipment or other companies. The borrowings may bear interest at variable rates. Interest rate changes could affect our interest payments, and our future earnings, results of operations, and cash flows may be adversely affected, assuming other factors are held constant.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do not hedge against interest rate fluctuations. We may in the future obtain one or more forms of interest rate protection in the form of swap agreements, interest rate cap contracts or similar agreements to hedge against the possible negative effects of interest rate fluctuations. However, we cannot assure you that any hedging will adequately relieve the adverse effects of interest rate increases or that counterparties under these agreements will honor their obligations thereunder. In addition, we may be subject to risks of default by hedging counterparties. Adverse economic conditions could also cause the terms on which we borrow to be unfavorable. We could be required to liquidate one or more of our assets at times which may not permit us to receive an attractive return on our assets in order to meet our debt service obligations.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assess and/or estimate the quality, quantity, availability and cost of aggregates we need to complete a project, particularly for projects in rural areas.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Particularly for projects in rural areas, we may estimate the quality, quantity, availability and cost for aggregates (such as sand, gravel, crushed stone, slag and recycled concrete) from sources that we have not previously used as suppliers, which increases the risk that our estimates may be inaccurate. Inaccuracies in our estimates regarding aggregates could result in significantly higher costs to supply aggregates needed for our projects, as well as potential delays and other inefficiencies. If we fail to accurately assess the quality, quantity, availability and cost of aggregates, it could cause us to incur losses, which could materially adversely affect our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may fluctuate.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generally very difficult to predict whether and when new contracts will be offered for tender, as our contracts frequently involve a lengthy and complex design and bidding process, which is affected by a number of factors, such as market conditions, funding arrangements and governmental approvals. Because of these factors, our results of operations and cash flows may fluctuate from quarter to quarter and year to year, and the fluctuation may be substantial.</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necessary for then-existing needs,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and man-made disasters, severe weather, and adverse geologic conditions may increase costs, cause project delays and reduce consumer demand, all of which could materially and adversely affect us.</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construction projects are in many areas that are subject to natural and man-made disasters, severe weather or adverse geologic conditions. These include, but are not limited to, hurricanes, tornadoes, droughts, floods, brushfires, wildfires, prolonged periods of precipitation, landslides, soil subsidence, earthquakes and other natural and man-made disasters. The occurrence of any of these events could damage our or our customers’ projects, cause delays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completion, reduce consumer demand, cause delays in our supply chain and cause shortages and price increases in labor or raw materials, any of which could affect our profitability. In addition, the occurrence of natural and man-made disasters, severe weather and other adverse geologic conditions has increased in recent years due to climate change and may continue to increase in the future. Climate change may have the effect of making the risks described above occur more frequently and more severely, which could amplify the adverse impact in our business, prospects, liquidity, financial condition, and results of operations.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are some risks of loss for which we may be unable to purchase insurance coverage or to maintain insurance coverage on acceptable terms. For example, losses associated with hurricanes, landslides, prolonged periods of precipitation, earthquakes and other weather-related and geologic events may not be insurable, and other losses, such as those arising from terrorism, may not be economically insurable. A sizeable uninsured loss could materially and adversely affect our business, prospects, liquidity, financial condition,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population growth rates in certain of the markets in which we operate or plan to operate could affect the demand for homes in these regions.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Slower rates of population growth or population declines in our markets in North Carolina, or other key markets in the United States we may decide to enter in the future, especially as compared to the high population growth rates in prior years, could affect the demand for housing and other construction projects, adversely affecting our plans for growth, business, financial condition, and operating results.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subject to adverse weather and climate conditions, which can adversely impact our business and cause our quarterly operating results to fluctuate.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occur outdoors in an area of the country in which weather events such as hurricanes, tornadoes and tropical storms are common. For example, Hurricane Helene made landfall in North Carolina during our fourth fiscal quarter of 2024 and disrupted operations in various portions of our geographic footprint through flooding, extended power outages and road closures, among other issues. These and similar seasonal changes and adverse weather conditions, such as extended rainy or cold weather, can adversely affect our business operations through a decline in the demand for our construction services, alterations and delays in our construction schedules, extended power outages limiting the use of plants and equipment and reduced efficiencies in our contracting operations, resulting in under-utilization of crews and equipment and lower contract profitability. Longer-term climatic changes may lead to increased extreme weather, changes in hydrological and meteorological patterns, and increased natural disasters. We are not fully insured against all risks incident to our business, including the risk of our operations being interrupted due to severe weather and natural disasters. Furthermore, we may be unable to maintain or obtain insurance of the type and amount we desire at reasonable rates. As a result of market conditions, premiums and deductibles for some of our insurance policies have increased and could escalate further. In addition, sub-limits have been imposed for certain risks. In some instances, certain insurance could become unavailable or available only for reduced amounts of coverage. If we were to incur a significant liability for which we are not fully insured, it could have a material adverse effect on our business, results of operations and financial condition. Significant physical effects of climate change could also have an indirect effect on our business by interrupting the operations of those with whom we do business. Should the impact of climate change be significant or occur for lengthy periods of time, our financial condition or results of operations would be adversely affected.</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these weather related factors, we have historically experienced, and expect to continue to experience, variability in our results of operations from quarter to quarter. We generally generate less revenue during the winter months of December, January and February. As a result, our revenues may fluctuate on a quarterly basis. We expect this seasonal pattern to continue over the long term, and we cannot make any assurances as to the degree to which our historical seasonal patterns will occur in the future.</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which are subject to disruption, failure or security breaches.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We also rely upon industry-accepted security measures and technology to securely maintain confidential information on our IT systems. However, our portfolio of hardware and software products, solutions and services and our enterprise IT systems may be vulnerable to damage or disruption caused by circumstances such as catastrophic events, power outages,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public health crises could disrupt our operations and adversely affect its business, results of operations and financial condition.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Pandemics, epidemics, widespread illness, or other public health crises that interfere with the ability of our employees, suppliers, customers, financing sources or others to conduct business have and could adversely affect the global economy and our results of operations and financial condition. For example, our business and results of operations could be materially adversely affected if significant portions of our workforce are unable to work effectively, including because of illness, quarantines, or government actions or other restrictions in connection with any future major public health crisis.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public infrastructure construction industry is highly competitive, with a variety of companies competing against us, and our failure to compete effectively could reduce the number of new contracts awarded to us or adversely affect our margins on contracts awarded.</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Many public infrastructure contracts on which we bid are awarded through a competitive bid process, with awards generally being made to the lowest bidder, but sometimes recognizing other considerations, such as shorter contract schedules or prior experience with the customer and reputation. Within our geographic markets, we compete with many international, national, regional and local construction firms. Several of these competitors have achieved greater geographic market penetration than we have in the geographic markets in which we compete, and/or have greater resources, including financial resources, than we do. In addition, a number of international and national companies in the heavy highway industry that are larger than we are and that currently do not have a significant presence in our geographic markets, if they so desire, could establish a presence in our geographic markets and compete with us for contracts.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if the use of design-build, construction manager/general contractor (CM/GC) and other alternative project delivery methods continues to increase and we are not able to further develop our capabilities and reputation in connection with these alternative delivery methods, we will be at a competitive disadvantage, which may have a material adverse effect on our financial position, results of operations, cash flows and prospects. If we are unable to compete successfully in our markets, our relative market share and profits could also be reduced.</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relies on highly competitive and highly regulated state or local government contracts.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State and local government funding for public works projects is limited, thus creating a highly competitive environment for the limited number of public projects available. In addition, state and local government contracts are subject to specific procurement regulations, contract provisions and a variety of regulatory requirements relating to their formation, administration, performance and accounting. Many of these contracts include express or implied certifications of compliance with applicable laws and contract provisions. We may be subject to claims for civil or criminal fraud for actual or alleged violations of these governmental regulations, requirements or statutes. In addition, we may also be subject to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brought by private individuals on behalf of the government under the federal False Claims Act, which could include claims for treble damages. Further, if we fail to comply with any of these regulations, contracts or requirements, or if we have a substantial number of workplace safety violations, our existing government contracts could be terminated, and we could be suspended from government contracting or subcontracting, including federally funded projects at the state level. Even if we have not violated these regulations, requirements or statutes, allegations of violations or defending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could harm our reputation and require us to incur material costs to defend any such allegations or lawsuits. Due to the significant competition in the marketplace and the level of regulations on state or local government contracts, we could suffer reductions in new projects and see lower revenues and profit margins on those projects, which could have a material adverse effect on the business, operating results and financial condition.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our ability to qualify as an eligible bidder under state or local government contract criteria and to compete successfully against other qualified bidders in order to obtain state or local government contracts.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State and local government agencies conduct rigorous competitive processes for awarding many contracts. Some contracts include multiple award task order contracts in which several contractors are selected as eligible bidders for future work. We potentially face strong competition and pricing pressures for any additional public infrastructure contract awards from other government agencies, and we may be required to qualify or continue to qualify under various multiple award task order contract criteria. Our inability to qualify as an eligible bidder under state or local government contract criteria could preclude us from competing for certain other government contract awards. In addition, our inability to qualify as an eligible bidder, or to compete successfully when bidding for certain state or local government contracts and to win those contracts, could materially adversely affect our business, operations, revenues and profits.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federal, state and local government spending for public infrastructure construction, and reductions in government funding could adversely affect our results of operations.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generated approximately 5% of our revenue from publicly funded construction projects and the sale of construction materials to public customers at the federal, state and local levels. As a result, if publicly funded construction decreases due to reduced federal, state or local funding or otherwise, our financial condition, results of operations and liquidity could be materially adversely affected.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Federal highway bills provide spending authorizations that represent the maximum amounts available for federally funded construction projects. Each year, Congress passes an appropriation act establishing the amount that can be used for particular programs. The annual funding level is generally tied to receipts of highway user taxes placed in the federal Highway Trust Fund. Once Congress passes the annual appropriation, the federal government distributes funds to each state based on formulas or other procedures. States generally must spend these funds on the specific programs outlined in the federal legislation. In recent years, the Highway Trust Fund has faced insolvency as outlays have outpaced revenues, and annual shortfalls have been addressed primarily by short-term measures. In November 2021, the Infrastructure Investment Jobs Act (“IIJA”) was signed into law, which provided additional funding for highways, bridges and airports over a five-year period. In addition, the Inflation Reduction Act passed in August 2022 has provided funding for a variety of infrastructure-related programs. Although these laws provide for funding at historically high levels, the timing, nature and scale of the projects for which these funds under these programs or otherwise will be used remains uncertain given variations in the appropriation processes at the federal and state levels. As a result, we cannot be assured of the existence, timing or amount of future federal highway funding. Federal highway funding is also subject to uncertainties associated with congressional spending as a whole, including the potential impacts of budget deficits, government shutdowns and federal sequestration. Any reduction in federal highway funding, particularly in the amounts allocated to states in which we operate, could have a material adverse effect on our results of operations.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state funds its infrastructure spending from specially allocated amounts collected from various state taxes, typically fuel taxes and vehicle fees, as well as from voter-approved bond programs. Shortages in state tax revenues can reduce the amount spent or delay expenditures on state infrastructure projects. Many states have experienced state-level funding pressures caused by lower tax revenues and an inability to finance approved projects. Any reduction in state infrastructure funding in the states in which we operate could have a material adverse effect on our results of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 for our public infrastructure business.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bonding to our public infrastructure customers to secure our performance under our contracts. Our ability to obtain bonding primarily depends upon our capitalization, working capital, borrowing capacity under our credit facilities, past performance, management expertise and reputation and certain external factors, including the overall capacity of the credit market. Bonding companies and banks consider such factors in relationship to the amount of our backlog and their underwriting standards, which may change from time to time. Events that adversely affect the financial markets generally may result in bonding becoming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more difficult to obtain in the future, or being available only at a significantly greater cost. Our inability to obtain adequate bonding would limit the amount that we can bid on new contracts for our public infrastructure business and could have a material adverse effect on our future revenues and business prospects.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prolonged government shutdown may adversely affect our public infrastructure business.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public infrastructure revenue from governmental agencies and programs. A prolonged government shutdown could impact inspections, regulatory review and certifications, grants, approvals, or cause other situations that could result in our incurring substantial labor or other costs without reimbursement under government contracts, or the delay or cancellation of key government programs in which we are involved, all of which could have a material adverse effect on our business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recover on claims or change orders against clients for payment or on claims against subcontractors for performance.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occasionally present claims or change orders to our clients for additional costs exceeding a contract price or for costs not included in the original contract price. Change orders are modifications of an original contract that effectively change the provisions of the contract without adding new provisions. They generally include changes in specifications or design, facilities, equipment, materials, sites and periods for completion of work. Claims are amounts in excess of the agreed contract price (or amounts not included in the original contract price) that we seek to collect for customer-caused delays, errors in specifications and designs, contract terminations or other causes of unanticipated additional costs. These costs may or may not be recovered until the claim is resolved. In addition, we may have claims against subcontractors for performance or non-performance related issues that resulted in additional costs on a project. In some instances, these claims can be the subject of lengthy legal proceedings, and it is difficult to accurately predict when they will be fully resolved. A failure to promptly document and negotiate a recovery for change orders and claims could have a negative impact on our cash flows and overall ability to recover change orders and claims, which would have a negative impact on our financial condition, results of operations and cash flows.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Most of our contracts can be canceled on short notice.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contracts generally have clauses that permit the cancellation of the contract unilaterally and at any time as long as the customer compensates us for the work already completed and for additional contractual costs for cancellation. A cancellation of an unfinished contract could cause our equipment and work crews to be idle for a period of time until other comparable work becomes available, which could have a material adverse effect on our business and 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Management and Workforce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upon the contributions of certain key management personnel, including, but not limited to, Jeremy Spivey, our founder and Chief Executive Officer, Benjamin Wood, our Chief Operating Officer, Erik West, the Chief Operating Officer of Cardinal NC, and Mike Rowe, our Chief Financial Officer. Although we have entered into employment agreements with each of these individuals, there is no guarantee that each of these individuals will remain employed by us. Our ability to retain our key management personnel, or to attract suitable replacements should any existing members of our management team leave, is dependent on the competitive nature of the employment market. The loss of services from key management personnel or a limitation in their availability could materially and adversely impact our business, prospects, liquidity, financial condition, and results of operations. Further, such a loss could be negatively perceived in the capital markets. We have not obtained key person life insurance that would provide us with proceeds in the event of the death or disability of any of our key management personnel.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hire, train and retain qualified personnel in a competitive industry.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ability to attract and retain experienced, reliable and qualified personnel who possess the necessary and required experience and expertise to perform their respective services at a reasonable and competitive rate is a significant factor that enables us to successfully bid for and profitably complete our work. This includes management, project managers, estimators, supervisors, foremen, equipment operators and laborers. Competition for these and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experienced personnel is intense, and it may be difficult to attract and retain qualified individuals with the requisite expertise and within the time frame demanded by our customers. If we do not succeed in retaining our current employees and attracting, developing and retaining new highly skilled employees, our reputation may be harmed and our operations and future earnings may be negatively impacted. In addition, the cost of providing our services, including the extent to which we utilize our workforce, affects our profitability. For example, the uncertainty of contract award timing can present difficulties in matching our workforce size with our contracts. If an expected contract award is delayed or not received, we could incur costs resulting from excess staff or redundancy of facilities that could have a material adverse impact on our business, financial condition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be adversely affected by labor shortages, turnover and labor cost increases.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Labor is a primary component of operating our business. A number of factors may adversely affect the labor force available to us or increase labor costs from time to time, including high employment levels, federal unemployment subsidies and other government regulations. Although we have not experienced material disruptions due to labor shortages to date, we have observed an overall tightening and increasingly competitive labor market. A sustained labor shortage or increased turnover rates within our employee base could lead to increased costs, such as increased overtime to meet demand and increased wage rates to attract and retain employees, and could negatively affect our ability to complete our construction projects according to the required schedule or otherwise efficiently operate our business. If we are unable to hire and retain employees capable of performing at a high level, or if mitigation measures we may take to respond to a decrease in labor availability, such as overtime and third-party outsourcing, have unintended negative effects, our business could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employment-related laws and regulations could increase our cost of doing business and subject us to fines and lawsuits.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and local employment-related laws and regulations, including, but not limited to, the U.S. Fair Labor Standards Act, which governs such matters as minimum wages, the Family Medical Leave Act, overtime pay, compensable time, recordkeeping and other working conditions, Title VII of the Civil Rights Act, the Employee Retirement Income Security Act, the Americans with Disabilities Act, the National Labor Relations Act, regulations of the Equal Employment Opportunity Commission, regulations of the Office of Civil Rights, regulations of the Department of Labor, regulations of state attorneys general, federal and state wage and hour laws, and a variety of similar laws enacted by the federal and state governments that govern these and other employment-related matters. As our employees are located in a number of states, compliance with these evolving federal, state and local laws and regulations could substantially increase our cost of doing business. In recent years, companies have been subject to lawsuits, including class action lawsuits, alleging violations of federal and state law regarding workplace and employment matters, overtime wage policies, discrimination and similar matters, some of which have resulted in the payment of meaningful damages by the defendants. Similar lawsuits may be threatened or instituted against us from time to time, and we may incur damages and expenses resulting from lawsuits of this type, which could have a material adverse effect on our business, financial condition or results of operations. We are currently subject to employee-related legal proceedings in the ordinary course of business. While we believe that we have adequate reserves for those losses that we believe are probable and can be reasonably estimated, the ultimate results of legal proceedings and claims cannot be predicted with certainty.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Currently, none of our personnel are unionized. If at any time a significant amount of our employees unionized, it could limit the flexibility of the workforce and could result in demands that might increase our operating expenses and adversely affect our profitability. Our inability to negotiate acceptable contracts with unions could result in work stoppages, and any new or extended contracts could result in increased operating costs. Each of our different employee groups could unionize at any time and would require separate collective bargaining agreements. If any group of our employees were to unionize and we were unable to agree on the terms of their collective bargaining agreement or we were to experience widespread employee dissatisfaction, we could be subject to work slowdowns or stoppages. In addition, we may be subject to disruptions by organized labor groups protesting our non-union status. The future or continued occurrence of any of these events would be disruptive to our operations and could have a material adverse effect on our business, operating results and financial condition.</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applicable immigration laws, our ability to successfully complete contracts may be negatively impacted.</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undocumented immigrants who work for us. Our failure to identify undocumented immigrants who work for us may result in fines or other penalties being imposed upon us, which could have a material adverse effect on our results of operations and financial condition.</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thereby subjecting us to liabilities and possible losses, which may not be covered by insurance as well as negative reputational impacts relating to health and safety matters.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workers are subject to hazards associated with providing construction and related services on construction sites. These operating hazards can cause personal injury, loss of life, damage to or destruction of property, plant and equipment or environmental damage. On most sites, we are responsible for safety and are contractually obligated to implement safety procedures. Our safety record is an important consideration for us and for our customers. If we experience a material increase in the frequency or severity of accidents, our safety record could substantially deteriorate, which may preclude us from bidding on certain work, expose us to potential lawsuits or cause customers to cancel existing contracts.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infrastructure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in health and safety performance may result in penalties or a suspension or cessation of our operations for non-compliance with relevant regulatory requirements or litigation, and a failure that results in a major or significant health and safety incident is likely to be costly in terms of potential liabilities incurred as a result. Such a failure could generate significant negative publicity and have a corresponding impact on our reputation and our relationships with relevant regulatory agencies, governmental authorities, and local communities, which in turn could have a material adverse effect on our business, prospects, liquidity,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and other regulatory matters, including those relating to climate change, could adversely affect our ability to conduct our business and could require expenditures that could have a material adverse effect on our results of operations and financial condition. In addition, future regulations, or more stringent enforcement of existing regulations, could increase those costs and liabilities, which could adversely affect our financial position and results of operations.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operations are subject to various complex and frequently changing environmental laws and regulations at the federal, state, and local level relating to the management, disposal and remediation of hazardous substances; the investigation and cleanup of contaminated sites; the emission and discharge of pollutants into the air and water; the generation, storage, handling, treatment and disposal of waste materials; and laws and regulations related to human health and safety. We could be held liable for contamination created not only from our own activities but also from the historical activities of others on our project sites or on properties that we acquire or lease on a strict, joint and several basis. Our operations are also subject to laws and regulations relating to workplace safety and worker health, which, among other things, regulate employee exposure to hazardous substances. Violations of environmental, health and safety laws and regulations could subject us to substantial fines and penalties, cleanup costs, third party property damage or personal injury claims, natural resource damages claims, the issuance of orders enjoining our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and administrative, civil and criminal liability. We may incur liabilities that may not be covered by insurance policies, or, if covered, the financial amount of such liabilities may exceed our policy limits or fall within applicable deductible or retention limits. A partially or completely uninsured claim, if successful and of significant magnitude, could cause us to suffer a significant loss and reduce cash available for our operations. We are required to invest financial and managerial resources to comply with such laws and regulations, and believe that we will continue to be required to do so in the future.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growing concerns about climate change and other environmental issues could result in the imposition of additional environmental regulations, and various governmental authorities have considered and are continuing to consider the adoption of regulatory strategies and controls designed to reduce the emission of greenhouse gases resulting from regulated activities. Adoptions of such legislation or restrictions, or other environmental regulation in areas where we conduct our business, could increase the costs of projects for us and our customers, cause delays or, in some cases, prevent a project from going forward, thereby potentially reducing the need for our services, which could in turn have a material adverse effect on our operations and financial condition.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entering office, the current U.S. presidential administration issued a series of executive orders that signaled a significant shift in the United States’ environmental and climate change policy. Among other directives, such executive orders: (i) rescind pre-existing executive actions meant to address climate change, including withdrawal of the U.S. from the Paris Agreement and other climate change-focused international initiatives; (ii) mandate review of existing regulations that may burden domestic energy development and other infrastructure projects; and (iii) pause disbursement of funds appropriated through the Inflation Reduction Act of 2022 and Infrastructure Investment and Jobs Act, including funds intended to support certain community infrastructure projects and programs. The administration has since proposed or promulgated a variety of regulatory initiatives, other executive actions and legislative proposals intended to further these and other policy priorities. The long-term impact of such actions, and any future actions taken during the current administration, on our and our customers’ operations or the demand for our services, if any, is difficult to predict at this time.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we may not be able to comply with new or amended laws and regulations that are adopted, and any new or amended laws and regulations could have a material adverse effect on our operating results by requiring us to modify our operations or equipment or shut down our facilities. Additionally, our customers may not be able to comply with any new or amended laws and regulations, which could cause our customers to curtail or cease operations. Generally, environmental laws and regulations have become, and enforcement practices and compliance standards have become, increasingly stringent. Moreover, we cannot predict the nature, scope or effect of legislation or regulatory requirements that could be imposed, or how existing or future laws or regulations will be administered or interpreted, with respect to products or activities to which they have not been previously applied. Compliance with more stringent laws or regulations, as well as more vigorous enforcement policies of the regulatory agencies, could increase our compliance costs. Compliance with new regulations could require us to make substantial expenditures for, among other things, pollution control systems and other equipment that we do not currently possess, or the acquisition or modification of permits applicable to our activities. In addition, more stringent regulation of our customers’ operations with respect to the protection of the environment, health and safety could also adversely affect their operations and reduce demand for our services.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required, and our customers are required, to obtain, maintain and comply with numerous federal, state and local government permits, licenses and approvals. Any of these permits, licenses or approvals may be subject to denial, revocation or modification under various circumstances. Failure to obtain or maintain such approvals or to comply with the conditions of permits, licenses or approvals may adversely affect our operations by, for instance, temporarily suspending our activities or curtailing our work and may subject us to fines, penalties, injunctive relief and other sanctions. Although existing permits and licenses are routinely renewed by various regulators, renewal could be denied or jeopardized by various factors, including:</w:t>
      </w:r>
    </w:p>
    <w:p>
      <w:pPr>
        <w:spacing w:after="0" w:line="121"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adequate financial assurance for closure;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health and safety laws and regulations or permit conditions;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community, political or other opposition;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action;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if new environmental legislation or regulations are enacted or implemented, or existing laws or regulations are amended or are interpreted or enforced differently, we may be required to obtain additional operating permits, licenses or approvals. Our inability to obtain, or to comply with, the permits, licenses and approvals required for our businesses, or our customers’ projects on which we work, could have a material adverse effect on us.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Furthermore, the regulatory permitting process for various projects requires significant investments of time and money by our customers and sometimes by us. There are no assurances that we or our customers will obtain the necessary permits for these projects. Applications for permits to operate newly constructed facilities such as our planned asphalt facilities, including air emissions permits, may be opposed by government entities, individuals or environmental groups, resulting in delays and possible non-issuance of the permits.</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recent past, the federal government imposed new or increased tariffs or duties on an array of imported materials and goods used in connection with our construction business, including steel and lumber, which raised our costs for these items (or products made with them). Foreign governments, including China, Canada and Mexico, and trading blocs, such as the European Union, have responded by imposing or increasing tariffs, duties and/or trade restrictions on U.S. goods, and are reportedly considering other measures. Any trading conflicts and related escalating governmental actions that result in additional tariffs, duties and/or trade restrictions could increase our costs further, cause disruptions or shortages in our supply chains and/or negatively impact the U.S., regional or local economies, and, individually or in the aggregate, materially and adversely affect our business and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the federal and various state jurisdictions. Significant judgment is required in our accounting for income taxes. In the ordinary course of our business, there are transactions and calculations in which the ultimate tax determination is uncertain. Changes in tax laws and regulations, in addition to changes and conflicts in related interpretations and other tax guidance, could materially impact our provision for income taxes, deferred tax assets and liabilities, and liabilities for uncertain tax positions. New income or other tax laws or regulations could be enacted at any time, which could adversely affect our business operations and financial performance.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data privacy and cybersecurity.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and otherwise process certain personal information, including personal information specific to employees, vendors, and suppliers. We may transfer some of this personal information to third parties who assist us with certain aspects of our business for limited purposes under appropriate contractual arrangements.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data privacy and cybersecurity is constantly evolving and can be subject to significant change. Laws and regulations governing data privacy, cybersecurity, and the unauthorized disclosure of personal information pose increasingly complex compliance challenges, including the potential for inconsistent interpretation, and the implementation and maintenance of compliance measures may potentially elevate our costs.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we have taken commercially reasonable steps to comply with applicable data privacy and cybersecurity laws and regulations, these laws and regulations are in some cases relatively new and the interpretation and application of these laws and regulations are uncertain. Thus, there can be no assurance that our efforts will be deemed effective by regulatory bodies. Any failure, or perceived failure, by us to comply with applicable data privacy and cybersecurity laws and regulations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As noted above, we are also subject to the possibility of information system failures, cybersecurity incidents or attacks, or other security breaches, which themselves may result in a violation of these laws and regulations. Additionally, if we acquire a company that has violated or is not in compliance with applicable data privacy and cybersecurity laws and regulations, we may incur significant liabilities and penalties as a result.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Acquisition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strategy, which includes expanding into adjacent markets, may not be successful.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continue to pursue growth through the acquisition of companies or assets that will enable us to broaden the types of projects we execute and also expand into new markets. We have completed several acquisitions and plan to consider additional acquisitions in the future. While we continuously evaluate potential acquisitions, as of the date of this prospectus we have not entered into any agreement or arrangement with respect to any particular acquisition other than those previous acquisitions described in this prospectus. Furthermore, there can be no assurance that we will be able to complete any future acquisitions on favorable terms or at all. The investigation of acquisition candidates and the negotiation, drafting and execution of relevant agreements, disclosure documents and other instruments require substantial management time and attention and costs for accountants, attorneys and others. If we fail to complete any acquisition for any reason, including events beyond our control, the costs incurred up to that point for the proposed acquisition likely would not be recoverable.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typically require integration of the acquired company’s estimation, project management, finance, information technology, risk management, purchasing and fleet management functions. We may be unable to successfully integrate an acquired business into our existing business, and an acquired business may not be as profitable as we had expected or at all. Acquisitions involve risks that the acquired business will not perform as expected and that our expectations concerning the value, strengths and weaknesses of the acquired business will prove incorrect. Our inability to successfully integrate new businesses in a timely and orderly manner could increase costs, reduce profits or generate losses and prevent us from realizing expected rates of return on an acquired business.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Moreover, an acquisition involves certain risks, including:</w:t>
      </w:r>
    </w:p>
    <w:p>
      <w:pPr>
        <w:spacing w:after="0" w:line="158"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systems, policies and procedures;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in controls and procedures including those necessary for a public company may make it more difficult to integrate operations and systems;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proper overall business controls, including those required to support our growth, resulting in inconsistent operating and financial practices at companies we acquire or have acquired;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relationships with the key personnel and customers of an acquired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and accounting challenges and complexities in areas such as tax planning, treasury management, financial reporting and internal controls;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environmental and other liabilities, including liabilities arising from the operation of an acquired business or asset prior to our acquisition for which we are not indemnified or for which the indemnity is inadequate;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management attention to our ongoing business.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potential acquisition targets may be in states in which we do not currently operate. Acquisitions in a new geographic region could result in unforeseen operating challenges and difficulties in coordinating geographically dispersed operations, personnel and facilities and subject us to unfamiliar legal requirements.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achieve synergies and cost savings in connection with recent and future acquisitions. Many of the businesses that we previously acquired, and businesses that we may acquire in the future, could have unaudited financial statements that are prepared by management and are not independently reviewed or audited, and such financial statements could be materially different if they were independently reviewed or audited. We cannot guarantee that we will continue to acquire businesses at valuations consistent with our prior acquisitions or that we will complete future acquisitions at all. We also cannot know whether there will be attractive acquisition opportunities at reasonable prices, that financing will be available or that we can successfully integrate acquired businesses into our existing operations. In addition, our results of operations from these acquisitions could, in the future, result in impairment charges for any of our intangible assets, including goodwill or other long-lived assets, particularly if economic conditions worsen unexpectedly.</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make any assurances that our growth or expansion strategies will be successful, and we may incur a variety of costs to engage in such strategies, including through targeted acquisitions, and the anticipated benefits may never be realized.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expanded our business through selected investments and by capturing market share within our existing markets and in new geographic markets. We intend to grow our operations in existing markets and to strategically expand into new markets or pursue opportunistic purchases of other infrastructure construction companies on attractive terms, as such opportunities arise. We may be unable to achieve the anticipated benefits of any such growth or expansion, including through targeted acquisitions or through efficiencies that we may be unable to achieve, the anticipated benefits may take longer to realize than expected, or we may incur greater costs than expected in attempting to achieve the anticipated benefits. In such cases, we will likely need to employ additional personnel or trade partners that are knowledgeable about such markets. There can be no assurance that we will be able to recruit, develop, or retain the necessary personnel or trade partners to successfully implement a disciplined management process and culture with local management, that our expansion operations will be successful, or that we will be able to successfully integrate any acquired company. This could disrupt our ongoing operations and divert management resources that would otherwise focus on developing our existing business.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can give no assurance that we will be able to successfully identify, acquire, or implement these new strategies in the future. Accordingly, any such expansion, including through acquisitions, could expose us to significant risks beyond those associated with operating our existing business and may adversely affect our business, prospects, liquidity, financial condition, and results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Financing and Liquidity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over-time revenue recognition (specifically, recognition of revenue based on the cost-to-cost input method) accounting related to our projects could result in a reduction or elimination of previously reported revenue and profits.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is more fully discussed under “Management’s Discussion and Analysis of Financial Condition and Results of Operations — Critical Accounting Estimates,” a significant portion of our contract revenue is recognized over time. This method is used because management believes costs incurred best represent the amount of work completed and remaining on our projects and is the most common basis for computing percentage of completion in our industry. Under this method, estimated contract revenue is recognized by applying the cost-to-cost measure of progress for the period (based on the ratio of costs incurred to total estimated costs of a contract) to the total estimated revenue for the contract. Contract estimates are based on various assumptions to project the outcome of future events that often span several years. These assumptions include labor productivity and availability, the complexity of the work to be performed, the cost and availability of materials and the performance of subcontractors. Changes in job performance, job conditions and estimated profitability, including those changes arising from contract penalty provisions and final contract settlements, may result in revisions to costs and income and are recognized in the period in which the revisions are determined. These adjustments could result in both increases and decreases in profit margins or losses. Actual results could differ from estimated amounts and could result in a reduction or elimination of previously recognized earnings. In certain circumstances, it is possible that such adjustments could be significant and could have an adverse effect on our business. To the extent that these adjustments result in an increase, a reduction or an elimination of previously reported contract profit, we recognize a credit or a charge against current earnings, which could be material.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may not be realized or may not result in profits and may not accurately represent future revenue.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Backlog at December 31, 2025 totaled $682 million. Backlog develops as a result of new awards, which represent the potential revenue value realizable pursuant to new project commitments received by us during a given period. Backlog is measured and defined differently by companies within our industry. We refer to “Backlog” as the unearned revenue we expect to earn in future periods on our executed contracts. As the construction on our projects progresses, we increase or decrease Backlog to take into account newly signed contracts, revenue earned during the period and our estimates of the effects of changes in estimated quantities, changed conditions, change orders and other variations from previously anticipated contract revenues, including completion penalties and incentives.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We cannot guarantee that the revenue projected in our Backlog will be realized, or if realized, will result in earnings. Given these factors, our Backlog at any point in time may not accurately represent the revenue that we expect to realize during any period, and our Backlog as of the end of a fiscal year may not be indicative of the revenue we expect to earn in the following fiscal year. Inability to realize revenue from our Backlog could have an adverse effect on our business.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growth objectives.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ability to obtain additional financing in the future will depend in part upon prevailing credit and equity market conditions, as well as the condition of our business and our operating results; such factors may adversely affect our efforts to arrange additional financing on terms satisfactory to us and make us more vulnerable to adverse economic and competitive conditions.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or are not available on acceptable terms, we may not be able to make future investments, take advantage of acquisitions or other opportunities, or respond to competitive challenges.</w:t>
      </w:r>
    </w:p>
    <w:p>
      <w:pPr>
        <w:spacing w:after="0" w:line="15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to fund working capital, we will require a significant amount of cash. Our ability to generate cash depends on many factors that are beyond our control, including the fact that adverse capital and credit market conditions may affect our ability to meet liquidity needs, access to capital and cost of capital.</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generate cash is subject to our operational performance, as well as general economic, financial, competitive, legislative, regulatory and other factors that are beyond our control. We may be unable to expand our credit capacity, which could adversely affect our operations and business. Earnings from our operations and our working capital requirements can vary from period to period, based primarily on the mix of our projects underway and the percentage of project work completed during the period. Capital expenditures may also vary significantly from period to period. We cannot provide assurance that our business will generate sufficient cash flow from operations or asset sales or that we can obtain future borrowing capacity in an amount sufficient to enable us to pay our indebtedness, to fund working capital requirements or to fund our other liquidity needs. Without sufficient liquidity, we will be forced to curtail our operations, and our business will suffer.</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cannot generate enough cash to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If internal sources of liquidity prove to be insufficient, we may not be able to successfully obtain additional financing on favorable terms, or at all.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94" w:lineRule="exact"/>
        <w:rPr>
          <w:sz w:val="20"/>
          <w:szCs w:val="20"/>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adequate financial and management processes and internal controls could lead to errors in reporting our financial results.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stockholders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resource challenges and fraud. Because of these inherent limitations, internal control over financial reporting might not prevent or detect all misstatements or fraud.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w:t>
      </w:r>
    </w:p>
    <w:p>
      <w:pPr>
        <w:spacing w:after="0" w:line="19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preparation of the financial statements, material weaknesses in Cardinal’s internal controls over financial reporting were identified and, if our remediation is not effective, or if we fail to maintain an effective system of internal controls over financial reporting in the future, we may not be accurately or timely report our financial condition or results of operations, which may adversely affect investor confidence and profitability.</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identified material weaknesses in Cardinal’s internal controls over financial reporting at December 31, 2025.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IT general controls, segregation of duties and ineffective controls over the review of estimates to complete for construction contracts. Remediation steps are being taken to improve Cardinal’s internal controls over financial reporting to address the underlying causes, including designing and implementing increased controls along with increased oversight and review of controls.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we believe that these efforts will improve Cardinal’s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7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and local tax authorities. Our future effective tax rates could be subject to volatility or adversely affected by a number of factors, including:</w:t>
      </w:r>
    </w:p>
    <w:p>
      <w:pPr>
        <w:spacing w:after="0" w:line="94"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financing arrangements contain, and our future financing arrangements likely will contain, restrictive covenants.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current financing arrangements (including the October 2025 Credit Facility) contain, and the financing arrangements we enter in the future likely will contain, covenants (financial and otherwise) affecting our ability to incur additional debt, make certain investments, reduce liquidity below certain levels, make distributions to our stockholders, and otherwise affect our operating policies. The restrictions contained in our financing arrangements could also limit our ability to plan for or react to market conditions, meet capital needs, make acquisitions, or otherwise restrict our activities or business plans.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meet or satisfy any of these covenants in our debt agreements, we would be in default under these agreements, and our lenders could elect to declare outstanding amounts due and payable, terminate their commitments, require the posting of additional collateral, or enforce their respective interests against existing collateral. A default also could significantly limit our financing alternatives, which could cause us to curtail our investment activities and/or dispose of assets when we otherwise would not choose to do so. If we default on several of our debt agreements or any single significant debt agreement, it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use leverage in executing our business strategy, which may adversely affect the return on our assets.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incur a substantial amount of debt in the future. Our existing indebtedness is recourse to us, and we anticipate that future indebtedness will likewise be recourse. As of December 31, 2025, we had $120.0 million of borrowings outstanding under the October 2025 Credit Facility bearing interest at the rate of 6.83%. Our board of directors considers several factors when evaluating our level of indebtedness and when making decisions regarding the incurrence of new indebtedness, including the purchase price of assets to be acquired with debt financing, the estimated market value of our assets, and the ability of particular assets, and us as a whole, to generate cash flow to cover the expected debt service. Our governing corporate documents do not contain a limitation on the amount of debt we may incur, and our board of directors may change our target debt levels at any time without the approval of our stockholders.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Incurring a substantial amount of debt could have important consequences for our business, including:</w:t>
      </w:r>
    </w:p>
    <w:p>
      <w:pPr>
        <w:spacing w:after="0" w:line="158"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or to our trade or other creditors;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or industry conditions;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and acquisitions, particularly when the availability of financing in the capital markets is limited;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for the payment of interest on our debt and reducing our ability to use our cash flows to fund working capital, capital expenditures, acquisitions, and general corporate requirements;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less leveraged competitors.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through capital markets financings or under our credit facilities or otherwise in an amount sufficient to enable us to pay our indebtedness or to fund our other liquidity needs. We may need to refinance all or a portion of our indebtedness, on or before its maturity. We cannot assure you that we will be able to refinance any of our indebtedness on commercially reasonable terms or at all. In addition, we may incur additional indebtedness to finance our operations or to repay existing indebtedness. If we cannot service our indebtedness, we may have to take actions such as selling assets, seeking additional debt or equity, financing, or reducing or delaying capital expenditures, strategic acquisitions, investments, and alliances. We cannot assure you that any such actions, if necessary, could be effected on commercially reasonable terms or at all, or on terms that would be advantageous to our stockholders or on terms that would not require us to breach the terms and conditions of our existing or future debt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107"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ownership of LLC Units. As such, we will have no independent means of generating revenue or cash flow, and our ability to pay our taxes and operating expenses or declare and pay dividends in the future, if any, depends upon the financial results and cash flows of Cardinal and distributions we receive from Cardinal. There can be no assurance that Cardinal will generate sufficient cash flow to distribute funds to us or that applicable state law and contractual restrictions, including negative covenants in any applicable debt instruments, will permit such distributions. Cardinal is currently subject to debt instruments or other agreements that restrict its ability to make distributions to us, which may in turn affect Cardinal’s ability to pay distributions to us and thereby adversely affect our cash flows.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Cardinal continues to be treated as a partnership for U.S. federal income tax purposes and, as such, generally is not subject to any entity-level U.S. federal income tax. Instead, any taxable income of Cardinal is allocated to holders of LLC Units, including us. Accordingly, we incur income taxes on our allocable share of any net taxable income of Cardinal. Under the terms of the Cardinal Operating Agreement, Cardinal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We intend, as its managing member, to cause Cardinal to make (i) pro rata tax distributions in cash to the holders of LLC Units (including us) in an amount at least sufficient to fund all or part of their tax obligations in respect of taxable income allocated to them, as well as our obligations to make payments under the Tax Receivable Agreement (such pro rata distributions to the Continuing Equity Holders to be exclusive of the right of such Continuing Equity Holders to receive payments pursuant to the Tax Receivable Agreement) and</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2" w:lineRule="auto"/>
        <w:tabs>
          <w:tab w:leader="none" w:pos="7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non-pro rata payments to us to reimburse us for our operating expenses (such expenses not to include obligations under the Tax Receivable Agreement). However, Cardinal’s ability to make such distributions is subject to various limitations and restrictions, such as restrictions on distributions that would either violate any contract or agreement to which Cardinal is then a party, including debt agreements, or any applicable law, or that would have the effect of rendering Cardinal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 Cardinal Operating Agreement” in the definitive proxy statement for our 2026 Annual Meeting of Stockholders which is incorporated by reference into our Annual Report on Form 10-K which is incorporated by reference into this prospectus. In addition, if Cardinal does not have sufficient funds to make distributions, our ability to declare and pay cash dividends will also be restricted or impaired, although we do not anticipate declaring or paying any cash dividends on our Class A Common Stock in the foreseeable future. See “— Risks Related to the Ownership of our Class A Common Stock” and “Dividend Policy.”</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As mentioned above, under the Cardinal Operating Agreement, we intend to cause Cardinal, from time to time, to make pro rata distributions in cash to the holders of LLC Units (including us) in amounts sufficient to cover the taxes imposed on their allocable share of taxable income of Cardinal (such pro rata distributions to the Continuing Equity Holders to be exclusive of the right of such Continuing Equity Holders to receive payments pursuant to the Tax Receivable Agreement). As a result of (i) potential differences in the amount of net taxable income allocable to us and to the other holders of LLC Units, (ii) 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stockholders. No adjustments to the exchange ratio for LLC Units and corresponding shares of Class A Common Stock will be made as a result of any cash dividend or distribution by us or any retention of cash by us. As a result, the holders of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 See “Description of Capital Stock.” To the extent we do not distribute such excess cash as dividends on our Class A Common Stock we may take other actions with respect to such excess cash, for example, holding such excess cash, or lending or contributing it (or a portion thereof) to Cardinal, which may result in shares of our Class A Common Stock increasing in value relative to the value of LLC Units. Following a contribution of such excess cash to Cardinal we may make an adjustment to the outstanding number of LLC Units held by holders of LLC Units (other than us).</w:t>
      </w:r>
    </w:p>
    <w:p>
      <w:pPr>
        <w:spacing w:after="0" w:line="20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Holders requires us to make cash payments to them in respect of certain tax benefits to which we may become entitled, and we expect that such payments will be substantial.</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party to a Tax Receivable Agreement with Cardinal and each of the Continuing Equity Holders. Under the Tax Receivable Agreement, among us and each of the Continuing Equity Holders, we are required to make cash payments to the Continuing Equity Holders equal to 85% of the tax benefits, if any, that we actually realize, or in certain circumstances are deemed to realize, as a result of (i) the amount of tax benefits, if any, that Cardinal Group actually realizes (or in some circumstances is deemed to realize) as a result of certain increases in tax basis resulting from our acquisition (or deemed acquisition for U.S. federal tax purposes) of the Continuing Equity Holders’ LLC units in connection with the IPO or pursuant to an exercise of the Redemption Right or Call Right (“Basis Adjustments”) and (ii) certain tax benefits (such as interest deductions) arising from payments under the Tax Receivable Agreement. We are required to make such payments to the Continuing Equity Holders even if all of the Continuing Equity Holders were to exchange or have had redeemed their remaining LLC Units.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payment obligation is an obligation of Cardinal Group and not of Cardinal. We expect that the amount of the cash payments we will be required to make under the Tax Receivable Agreement will be substantial. Any payments made by us to the Continuing Equity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and Director Independence — Cardinal Operating Agreement” in the definitive proxy statement for our 2026 Annual Meeting of Stockholders which is incorporated by reference into our Annual Report on Form 10-K which is incorporated by reference into this prospectus. Payments under the Tax Receivable Agreement are not conditioned upon continued ownership of Cardinal by the exchanging Continuing Equity Holders.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Continuing Equity Holders’ interests may conflict with those of the holders of our Class A Common Stock.</w:t>
      </w:r>
    </w:p>
    <w:p>
      <w:pPr>
        <w:spacing w:after="0" w:line="13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actual Basis Adjustments and the actual utilization of any resulting tax benefits, as well as the amount and timing of any payments under the Tax Receivable Agreement, will vary depending upon a number of factors including: the timing of redemptions by the Continuing Equity Holders; the price of shares of our Class A Common Stock at the time of the exchange; the extent to which such exchanges are taxable; the amount of gain recognized by such Continuing Equity Holders;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Holders that do not benefit holders of our Class A Common Stock to the same extent that they benefit the Continuing Equity 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Holders that do not benefit the holders of our Class A Common Stock to the same extent that they benefit the Continuing Equity Holders. The Tax Receivable Agreement with Cardinal and the Continuing Equity Holders in connection with our initial public offering which provides for the payment by us to the Continuing Equity Holders of 85% of the amount of tax benefits, if any, that we actually realize, or in some circumstances are deemed to realize, as a result of (i) Basis Adjustments and (ii) certain tax benefits (such as interest deductions) arising from payments under the Tax Receivable Agreement.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Although we will retain 15% of the amount of such tax benefits, this and other aspects of our organizational structure may adversely impact the future trading market for our Class A Common Stock.</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Holders may be accelerated or significantly exceed any actual benefits we realize in respect of the tax attributes subject to the Tax Receivable Agreement.</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or (iii) we elect an early termination of the Tax Receivable Agreement, then our obligations, or our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Continuing Equity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 Company will reassess the tax benefit payments liability at each reporting period based on updated exchange activity and tax benefit realization. The contractual Early Termination Rate is defined under the agreement as the lesser of (i) 6.5% per annum, compounded annually, and (ii) SOFR plus 100 basis points, which applies to early termination payments and may serve as a reference point for market participant assumptions.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Holders under the Tax Receivable Agreement in the event that any tax benefits are disallowed.</w:t>
      </w:r>
    </w:p>
    <w:p>
      <w:pPr>
        <w:spacing w:after="0" w:line="9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U.S.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Continuing Equity Holders under the Tax Receivable Agreement, then, under certain circumstances, we will not be permitted to settle such challenge without the consent (not to be unreasonably withheld or delayed) of Continuing Equity Holders. The interests of Continuing Equity Holders in any such challenge may differ from or conflict with our interests and your interests, and Continuing Equity Holders may exercise their consent rights relating to any such challenge in a manner adverse to our interests and your interests. We will not be reimbursed for any cash payments previously made to the Continuing Equity Holders under the Tax Receivable Agreement in the event that any tax benefits initially claimed by us and for which payment has been made to a Continuing Equity Holder are subsequently challenged by a taxing authority and are ultimately disallowed. Instead, any excess cash payments made by us to a Continuing Equity Holder will be netted against future cash payments, if any, that we might otherwise be required to make to such Continuing Equity Holder, under the terms of the Tax Receivable Agreement. However, we might not determine that we have effectively made an excess cash payment to a Continuing Equity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Continuing Equity Holder that are the subject of the Tax Receivable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Equity Holders continue to have significant influence over us, including control over decisions that require the approval of stockholders.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Continuing Equity Holders control, in the aggregate, approximately 61.0% of the voting power represented by all our outstanding shares of capital stock as of December 31, 2025. As a result, the Continuing Equity Holders continue to exercise significant influence over all matters on which holders of Class B Common Stock are entitled to vote, including the election and removal of directors (subject to the rights of the holders of preferred stock, if any), amendments to our A&amp;R Charter or amended and restated bylaws (the “A&amp;R Bylaws”), and any approval of significant corporate transactions (including a sale of all or substantially all of our assets), and continue to have significant control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over our business, affairs, and policies, including the appointment of our management, through their influence over the composition of the board of directors. The directors, whom the Continuing Equity Holders have the ability to elect through their voting power, have the authority to incur additional debt, issue or repurchase stock, declare dividends, and make other decisions that could be detrimental to stockholders.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are affiliated with the Continuing Equity Holders. The Continuing Equity Holders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Holders may have an adverse effect on the price of our Class A Common Stock. The Continuing Equity Holders may have interests that are different from yours and may vote in a way with which you disagree and that may be adverse to your interests.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9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not be able to resell your shares at or above the price that you paid for them due to a number of factors included herein, including the following:</w:t>
      </w:r>
    </w:p>
    <w:p>
      <w:pPr>
        <w:spacing w:after="0" w:line="8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changes in consumer behavior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to our systems or those of our affiliates or strategic partners;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residential construction;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or other unconsolidated entities, other strategic relationships, or capital commitments;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residential construction environment;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natural or man-made disasters, extreme weather events, war, acts of terrorism, an outbreak of highly infectious or contagious diseases, such as COVID-19, or responses to these events.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A&amp;R Charter and A&amp;R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16" w:lineRule="exact"/>
        <w:rPr>
          <w:sz w:val="20"/>
          <w:szCs w:val="20"/>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take action by consent without a meeting, but may only take action at a meeting of stockholders;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unable to call a special meeting of stockholders;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312" w:lineRule="auto"/>
        <w:tabs>
          <w:tab w:leader="none" w:pos="1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provisions of the A&amp;R Charter may be amended only by the affirmative vote of holders of at least 66 2/3% of the voting power of our then outstanding capital stock entitled to vote thereon.</w:t>
      </w:r>
    </w:p>
    <w:p>
      <w:pPr>
        <w:spacing w:after="0" w:line="5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(the “DGCL”), but our A&amp;R Charter will provide that engaging in any of a broad range of business combinations with any “interested” stockholder (generally defined as any stockholder with 15% or more of our outstanding voting stock and any entity or person affiliated with or controlling or controlled by such stockholder) for a period of three years following the time on which the stockholder became an “interested” stockholder is prohibited, subject to certain exceptions (except with respect to the Continuing Equity Holders and any of their respective affiliates and any of their respective direct or indirect transferees of our common stock). See “Description of Capital Stock.”</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as a newly public company for which our accounting and other management systems and resources may not be adequately prepared.</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newly public company with listed equity securities, we must comply with new laws, regulations, and requirements, including the requirements of the Exchange Act, certain corporate governance provisions of the Sarbanes-Oxley Act of 2002 (the “Sarbanes-Oxley Act”), and related regulations and requirements of the SEC, with which we were not required to comply with as a private company. The Exchange Act requires that we file annual,</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quarterly, and current reports with respect to our business and financial condition. The Sarbanes-Oxley Act requires, among other things, that we establish and maintain effective internal controls and procedures for financial reporting. Section 404 of the Sarbanes-Oxley Act requires our management and independent auditors to report annually on the effectiveness of our internal control over financial reporting. However, we are currently an “emerging growth company,” as defined in the JOBS Act, so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Once we are no longer an emerging growth company or, if prior to such date, we opt to no longer take advantage of the applicable exemptions, we will be required to include an opinion from our independent auditors on the effectiveness of our internal control over financial reporting. These reporting and other obligations will place significant demands on our management, administrative, operational, and accounting resources and will cause us to incur significant expenses. We may need to upgrade our systems or create new systems, implement additional financial and management controls, reporting systems and procedures, create or outsource an internal audit function, and hire additional accounting and finance staff. If we are unable to accomplish these objectives in a timely and effective fashion, our ability to comply with the financial reporting requirements and other rules that apply to reporting companies could be impaired. Any failure to maintain effective internal control over financial reporting could have a material adverse effect on our business, prospects, liquidity, financial condition, and results of operations. As a public company our compliance obligations have also made it more expensive for us to obtain director and officer liability insurance, and we have been required to incur substantially higher costs to obtain coverage. These factors could also make it more difficult for us to attract and retain qualified members of our board of directors, particularly to serve on our audit committee and compensation committee, and qualified executive officers. As a result of disclosure of information in this prospectus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99"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sales are less than $1.235 billion will, in general, qualify as an “emerging growth company” until the earliest of:</w:t>
      </w:r>
    </w:p>
    <w:p>
      <w:pPr>
        <w:spacing w:after="0" w:line="85" w:lineRule="exact"/>
        <w:rPr>
          <w:sz w:val="20"/>
          <w:szCs w:val="20"/>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$1.235 billion or more;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 billion in nonconvertible debt;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we</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an aggregate worldwide market value of common equity securities held by non-affiliates of $700 million or more as of the last business day of its most recently completed second fiscal quarter, (ii) have been required to file annual and quarterly reports under the Exchange Act, for a period of at least 12 months, and (iii) have filed at least one annual report pursuant to the Exchange Act.</w:t>
      </w:r>
    </w:p>
    <w:p>
      <w:pPr>
        <w:spacing w:after="0" w:line="9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this definition, we are currently an “emerging growth company” and could remain an “emerging growth company” until as late as the fifth anniversary following our December 2025 initial public offering. For so long as we are an “emerging growth company,” we will, among other things:</w:t>
      </w:r>
    </w:p>
    <w:p>
      <w:pPr>
        <w:spacing w:after="0" w:line="95" w:lineRule="exact"/>
        <w:rPr>
          <w:sz w:val="20"/>
          <w:szCs w:val="20"/>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no longer qualify as an “emerging growth company” as of December 31, 2027, and, as a result, we will have to comply with increased disclosure and compliance requirements.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However, because (i) the market value of our common stock held by non-affiliates is likely to exceed $700 million as of June 30, 2026, the last business day of our second fiscal quarter (based on the public offering price of our Class A Common Stock in this offering), (ii) we will have been a public company for more than one year as of the end of fiscal 2026, and (iii) we have filed at least one annual report, we expect that we will no longer qualify as an emerging growth company as of December 31, 2027 and will be a large accelerated filer. As a large accelerated filer, we will be subject to certain disclosure and compliance requirements that apply to other public companies but that did not previously apply to us due to our status as an emerging growth company. These requirements include, but are not limited to:</w:t>
      </w:r>
    </w:p>
    <w:p>
      <w:pPr>
        <w:spacing w:after="0" w:line="107" w:lineRule="exact"/>
        <w:rPr>
          <w:sz w:val="20"/>
          <w:szCs w:val="20"/>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the Sarbanes-Oxley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more detailed disclosures regarding executive compensation;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that the loss of emerging growth company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Cardinal has historically had high returns on equity, 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See “Part II. Item 5. Market for Registrant’s Common Equity, Related Stockholder Matters and Issuer Purchases of Equity Securities — Dividend Policy” in our annual report on Form 10-K for more detail.</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A&amp;R Charter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(i) (a) any derivative action or proceeding brought on our behalf, (b) any action asserting a claim of breach of a fiduciary duty owed by any of our current or former directors, officers, other employees or stockholders to us or our stockholders, (c) any action asserting a claim arising pursuant to any provision of the DGCL, our A&amp;R Charter or our A&amp;R Bylaws (as either may be amended or restated) or as to which the DGCL confers jurisdiction on the Court of Chancery of the State of Delaware or (d)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(ii) the federal district courts of the United States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United States federal courts have exclusive jurisdiction.</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The choice of forum provision is limited to the extent permitted by law, and it does not apply to claims brought to enforce any liability or duty arising under the Exchange Act, or for any other federal securities laws which provide for exclusive federal jurisdiction. Additionally, unless we consent in writing to the selection of an alternative forum, the federal district courts of the United States shall, to the fullest extent permitted by law, be the exclusive forum for the resolution of any complaint asserting a cause of action arising under the Securities Act, or the rules and regulations promulgated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A&amp;R Charter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In such instance, we would expect to vigorously assert the validity and enforceability of the choice of forum provisions of our A&amp;R Charter.</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A&amp;R Charter to be inapplicable or unenforceable in an action, we may incur additional costs associated with resolving such action in other jurisdictions, which could harm</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Any person or entity purchasing or otherwise acquiring or holding any interest in shares of our capital stock shall be deemed to have notice of and consented to the forum provisions in our A&amp;R Charter.</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 — Critical Accounting Policies and Estimates.” The results of these estimates form the basis for making judgments about the carrying values of assets, liabilities, and equity, and the amount of revenue and expenses. Significant estimates and judgments involve: the recognition of revenue from construction contracts, including the estimation of total contract costs and the identification and measurement of variable consideration such as contract modifications and claims. The Company’s cost-to-cost method for recognizing revenue includes estimates and assumptions about future events, including labor productivity and availability, material costs and availability, and the complexity of work to be performed. The impacts of litigation and other loss contingency claims, including the probability of an unfavorable outcome and the ability to reasonably estimate the amount of loss, and fair value and other purchase accounting estimates associated with business combinations, including the valuation of acquired assets and assumed liabilities, contingent consideration, and the resulting goodwill and intangible assets, and amounts payable pursuant to the Tax Receivable Agreement, including the estimate of future taxable income, applicable tax rates, and the timing and amount of tax benefits expected to be realized.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March 18, 2026, we had a total of 15,292,984 shares of Class A Common Stock outstanding. Of the outstanding shares, the 13,225,000 shares sold in our initial public offering are freely tradable without restriction or further registration under the Securities Act, other than any shares held by our affiliates. Any shares of Class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have reserved 3,660,656 shares of Class A Common Stock for issuance under our 2025 Stock Incentive Plan (the “2025 Plan”). Any Class A Common Stock that we issue under the 2025 Plan or other stock incentive plans that we may adopt in the future would dilute the percentage ownership held by the investors.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restrictions on resale end or if applicable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 outstanding shares of our Class A Common Stock. Any such issuance of additional securities in the future may result in additional dilution to you or may adversely impact the price of our Class A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arbitration, or other claims which could materially and adversely affect us.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subject to litigation, and we may in the future be subject to enforcement actions, such as claims relating to our operations, securities offerings, and otherwise in the ordinary course of business. Some of these claims may result in significant defense costs and potentially significant judgments against us, some of which are not, or cannot be, insured against. Although we have established warranty, claim, and litigation reserves that we believe are adequate, we cannot be certain of the ultimate outcomes of any claims that may arise in the future, and legal proceedings may result in the award of substantial damages against us beyond our reserves. Resolution of these types of matters against us may result in our having to pay significant fines, judgments, or settlements, which, if uninsured or in excess of insured levels, could adversely impact our earnings and cash flows, thereby materially and adversely affecting us. Furthermore, plaintiffs may, in certain of these legal proceedings, seek class action status with potential class sizes that vary from case to case. Class action lawsuits can be costly to defend, and if we were to lose any certified class action suit, it could result in substantial liability for us. Certain litigation or the resolution thereof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suffer uninsured losses or material losses in excess of insurance limits.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could suffer physical damage to property and liabilities resulting in losses that may not be fully recoverable by insurance. Insurance against certain types of risks, such as terrorism, earthquakes, floods, or personal injury claims, may be unavailable, available in amounts that are less than the full market value or replacement cost of investment or underlying assets or subject to a large deductible or self-insurance retention amount. In addition, there can be no assurance that certain types of risks that are currently insurable will continue to be insurable on an economically feasible basis. Should an uninsured loss or a loss in excess of insured limits occur or be subject to deductibles or self-insurance retention, we could sustain financial loss or lose capital invested in the affected property, as well as anticipated future income from that property. Furthermore, we could be liable to repair damage or meet liabilities caused by risks that are uninsured or subject to deductibles. We may also be liable for any debt or other financial obligations related to affected property.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Acts of war or terrorism may seriously harm our business.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Acts of war, any outbreak or escalation of hostilities between the United States and any foreign power, or acts of terrorism may cause disruption to the U.S. economy, or the local economies of the markets in which we operate, cause shortages of building materials, increase costs associated with obtaining building materials, result in building code changes that could increase costs of construction, result in uninsured losses, affect job growth and consumer confidence, or cause economic changes that we cannot anticipate, all of which could reduce demand for our services and adversely impact our business, prospects, liquidity, financial condition, and results of operations.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could adversely affect our reputation as well as our business, financial results, and stock price.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Unfavorable media related to our industry, company, brands, marketing, personnel, operations, business performance, or prospects may affect our stock price and the performance of our business, regardless of its accuracy or inaccuracy. The speed at which negative publicity can be disseminated has increased dramatically with the capabilities of electronic communication, including social media outlets, websites, blogs, newsletters, and other digital platforms. Our success in maintaining, extending, and expanding our brand image depends on our ability to adapt to this rapidly changing media environment. Adverse publicity or negative commentary from any media outlets could damage our reputation and reduce the demand for our services, which would adversely affect our business.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assumptions, and/or judgments could materially and adversely affect us.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Accounting rules and interpretations for certain aspects of our financial reporting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such as those related to asset impairments,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Access to financing sources may not be available on favorable terms, or at all, especially in light of current market conditions, which could adversely affect our ability to maximize our returns.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access to additional third-party sources of financing will depend, in part, on:</w:t>
      </w:r>
    </w:p>
    <w:p>
      <w:pPr>
        <w:spacing w:after="0" w:line="144"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inflation and rising interest rates;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acquisition and/or development financing, the market’s perception of the value of the land parcels to be acquired and/or developed;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debt levels;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future earnings;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Class A Common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global credit and equity markets and the overall economy can be extremely volatile, which could have a number of adverse effects on our operations and capital requirements. For the past decade, the domestic financial markets have experienced a high degree of volatility, uncertainty and, during certain periods, tightening of liquidity in both the high yield debt and equity capital markets, resulting in certain periods when new capital has been both more difficult and more expensive to access. If we are unable to access the credit markets, we could be required to defer or eliminate important business strategies and growth opportunities in the future. In addition, if there is prolonged volatility and weakness in the capital and credit markets, potential lenders may be unwilling or unable to provide us with financing that is attractive to us or may increase collateral requirements or may charge us prohibitively high fees in order to obtain financing. Consequently, our ability to access the credit market in order to attract financing on reasonable terms may be adversely affected. Investment returns on our assets and our ability to make acquisitions could be adversely affected by our inability to secure additional financing on reasonable terms, if at all.</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Depending on market conditions at the relevant time, we may have to rely more heavily on additional equity financings or on less efficient forms of debt financing that require a larger portion of our cash flow from operations, thereby reducing funds available for our operations, future business opportunities and other purposes. We may not have access to such equity or debt capital on favorable terms at the desired times, or at all.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change our operational policies, investment guidelines and our business and growth strategies without stockholder consent, which may subject us to different and more significant risks in the future.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of directors will determine our operational policies, investment guidelines, and business and growth strategies. Our board of directors may make changes to, or approve transactions that deviate from, those policies, guidelines, and strategies without a vote of, or notice to, our stockholders. This could result in us conducting operational matters, making investments, or pursuing different business or growth strategies than those contemplated in this prospectus. Under any of these circumstances, we may expose ourselves to different and more significant risks in the future, which could have a material adverse effect on our business, prospects, liquidity, financial condition, and results of operations.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Class A Common Stock upon our bankruptcy or liquidation, and future offerings of equity securities that may be senior to our Class A Common Stock for the purposes of dividend and liquidation distributions, may adversely affect the market price of our Class A Common Stock.</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securities or additional offerings of equity securities. Upon bankruptcy or liquidation, holders of our debt securities and shares of preferred stock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Our preferred stock will have a preference on liquidating distributions and dividend payments, which could limit our ability to make a dividend distribution to the holders of our Class A Common Stock. Our decision to issue securities in any future offering will depend on market conditions and other factors beyond our control. As a result, we cannot predict or estimate the amount, timing or nature of our future offerings, and stockholders of our Class A Common Stock bear the risk of our future offerings reducing the market price of our Class A Common Stock and diluting their ownership interest in our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“forward-looking statements” within the meaning of Section 27A of the Securities Act and Section 21E of the Exchange Act.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spacing w:after="0" w:line="120" w:lineRule="exact"/>
        <w:rPr>
          <w:sz w:val="20"/>
          <w:szCs w:val="20"/>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demand for our services which may decrease during economic recessions or volatile economic cycles, and a reduction in demand in end markets;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projects in our local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new regions;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acquisitions;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expected outcomes, and growth prospects;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operations, industry, and markets;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indebtedness, liquidity, access to capital, and financial condition;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or weather conditions on our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costs of labor, materials and other items that are critical to our business;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 significant number of contracts or our disqualification from bidding for new contracts;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extensive laws and regulations that apply to our business and operations;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to receive $ million of net proceeds from the sale of Class A Common Stock by us in this offering, after deducting underwriting discounts and commissions. If the underwriters exercise in full their</w:t>
      </w:r>
    </w:p>
    <w:p>
      <w:pPr>
        <w:ind w:left="460"/>
        <w:spacing w:after="0"/>
        <w:tabs>
          <w:tab w:leader="none" w:pos="2520" w:val="left"/>
        </w:tabs>
        <w:rPr>
          <w:sz w:val="20"/>
          <w:szCs w:val="20"/>
          <w:color w:val="auto"/>
        </w:rPr>
      </w:pPr>
      <w:r>
        <w:rPr>
          <w:rFonts w:ascii="Times New Roman" w:cs="Times New Roman" w:eastAsia="Times New Roman" w:hAnsi="Times New Roman"/>
          <w:sz w:val="18"/>
          <w:szCs w:val="18"/>
          <w:color w:val="auto"/>
        </w:rPr>
        <w:t>option to purchase</w:t>
      </w:r>
      <w:r>
        <w:rPr>
          <w:sz w:val="20"/>
          <w:szCs w:val="20"/>
          <w:color w:val="auto"/>
        </w:rPr>
        <w:tab/>
      </w:r>
      <w:r>
        <w:rPr>
          <w:rFonts w:ascii="Times New Roman" w:cs="Times New Roman" w:eastAsia="Times New Roman" w:hAnsi="Times New Roman"/>
          <w:sz w:val="18"/>
          <w:szCs w:val="18"/>
          <w:color w:val="auto"/>
        </w:rPr>
        <w:t>additional shares of Class A Common Stock from us, we estimate that the net</w:t>
      </w:r>
    </w:p>
    <w:p>
      <w:pPr>
        <w:spacing w:after="0" w:line="9" w:lineRule="exact"/>
        <w:rPr>
          <w:sz w:val="20"/>
          <w:szCs w:val="20"/>
          <w:color w:val="auto"/>
        </w:rPr>
      </w:pPr>
    </w:p>
    <w:p>
      <w:pPr>
        <w:ind w:left="460"/>
        <w:spacing w:after="0"/>
        <w:tabs>
          <w:tab w:leader="none" w:pos="2280" w:val="left"/>
        </w:tabs>
        <w:rPr>
          <w:sz w:val="20"/>
          <w:szCs w:val="20"/>
          <w:color w:val="auto"/>
        </w:rPr>
      </w:pPr>
      <w:r>
        <w:rPr>
          <w:rFonts w:ascii="Times New Roman" w:cs="Times New Roman" w:eastAsia="Times New Roman" w:hAnsi="Times New Roman"/>
          <w:sz w:val="18"/>
          <w:szCs w:val="18"/>
          <w:color w:val="auto"/>
        </w:rPr>
        <w:t>proceeds will be $</w:t>
      </w:r>
      <w:r>
        <w:rPr>
          <w:sz w:val="20"/>
          <w:szCs w:val="20"/>
          <w:color w:val="auto"/>
        </w:rPr>
        <w:tab/>
      </w:r>
      <w:r>
        <w:rPr>
          <w:rFonts w:ascii="Times New Roman" w:cs="Times New Roman" w:eastAsia="Times New Roman" w:hAnsi="Times New Roman"/>
          <w:sz w:val="18"/>
          <w:szCs w:val="18"/>
          <w:color w:val="auto"/>
        </w:rPr>
        <w:t>million, after deducting underwriting discounts and commissions.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offering expenses (other than the underwriting discount and commissions) will be</w:t>
      </w:r>
    </w:p>
    <w:p>
      <w:pPr>
        <w:spacing w:after="0" w:line="27" w:lineRule="exact"/>
        <w:rPr>
          <w:sz w:val="20"/>
          <w:szCs w:val="20"/>
          <w:color w:val="auto"/>
        </w:rPr>
      </w:pPr>
    </w:p>
    <w:p>
      <w:pPr>
        <w:ind w:left="460"/>
        <w:spacing w:after="0"/>
        <w:tabs>
          <w:tab w:leader="none" w:pos="214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million.</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approximately $33 million of borrowings outstanding under our October 2025 Credit Facility and for general corporate purposes, which may include funding for acquisitions, working capital requirements, capital expenditures and the repayment, refinancing, redemption or repurchase of indebtedness or other securities. Drawings under the October 2025 Credit Facility bear interest based on the Secured Overnight Financing Rate (“SOFR”) plus 2.375%. Quarterly principal installments of $2.5 million are due through September 30, 2027 and $3.75 million from December 31, 2027 through September 30, 2030, with the remaining principal due as a final balloon payment on October 31, 2030. The effective interest rate, inclusive of the amortization of deferred financing costs, was 6.57% at March 31, 2026. The initial borrowings under the October 2025 Credit Facility were used to refinance then outstanding debt.</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from this offering or the amounts that we will actually spend on the uses set forth above. Accordingly, our management will have significant flexibility in applying the net proceeds from this offering. The timing and amount of our actual expenditures will be based on many factors, including cash flows from operations and the anticipated growth of our business. Pending our use of the net proceeds from this offering, we intend to invest the net proceeds in a variety of capital preservation investments, including short-term and intermediate-term, investment-grade, interest-bearing instruments, and U.S. government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therefore we do not anticipate declaring or paying any cash dividends on our Class A Common Stock in the foreseeable future. Except in certain limited circumstances, holders of our Class B Common Stock are not entitled to participate in any dividends declared by our board of directors. Furthermore, because we are a holding company, our ability to pay cash dividends on our Class A Common Stock depends on our receipt of cash distributions from Cardinal. Our October 2025 Credit Facility contains certain covenants that restrict, subject to certain exceptions, our ability to pay dividends. See “Management’s Discussion and Analysis of Financial Condition and Results of Operation — Liquidity and Sources of Capital — Credit Facilities, Debt and Other Capital.” Our ability to pay dividends may be restricted by the terms of any future credit agreement or any future debt or preferred equity securities of ours. See “Description of Capital Stock” and “Management’s Discussion and Analysis of Financial Condition and Results of Operation — Liquidity and Sources of Capital.” Any future determination as to the declaration and payment of dividends, if any, will be at the discretion of our board of directors and subject to the requirements of applicable law,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34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Accordingly, you may need to sell your shares of our Class A Common Stock to realize a return on your investment, and you may not be able to sell your shares at or above the price you paid for them. See “Risk Factors — Risks Related to the Ownership of our Class A Common Stock — Because we have no current plans to pay regular cash dividends on our Class A Common Stock, you may not receive any return on investment unless you sell your Class A Common Stock for a price greater than that which you paid for it.”</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principal assets are the LLC Units of Cardinal that we own. Cardinal, in turn, is a holding company, the principal assets of which consist of the equity interests in its direct and indirect subsidiaries. If we decide to pay a dividend in the future, we would need to cause Cardinal’s subsidiaries to make distributions to Cardinal, and to cause Cardinal to make distributions to us, in an amount sufficient to cover such dividend. If Cardinal makes such distributions to us, the other holders of LLC Units will be entitled to receive pro rata distributions. See “Risk Factors — Risks Related to Our Organizational Structure</w:t>
      </w:r>
    </w:p>
    <w:p>
      <w:pPr>
        <w:spacing w:after="0" w:line="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Our principal asset is our interest in Cardinal, and, as a result, we will depend on distributions from Cardinal to pay our taxes and expenses, including payments under the Tax Receivable Agreement. Cardinal’s ability to make such distributions may be subject to various limitations and restrictions.”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2026:</w:t>
      </w:r>
    </w:p>
    <w:p>
      <w:pPr>
        <w:spacing w:after="0" w:line="15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as of March 31, 2026;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shares of our Class A Common Stock in this offering and the use of a portion of the net proceeds to repay approximately $33 million of borrowings outstanding under our October 2025 Credit Facility.</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table below is illustrative only and will be adjusted based on the actual public offering price and other terms of this offering. This table should be read in conjunction with “Management’s Discussion and Analysis of Financial Condition and Results of Operations” below and our financial statements and related notes thereto incorporated by reference into this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43,982,867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196,028,057</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 500,000,000 shares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15,292,984 shares issued and outstanding, actual;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$0.0001 per share; 500,000,000 shares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27,573,875 shares issued and outstanding, actual;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authorized, no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actual; no shares issued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66,275,188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4,282,031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(151,904)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191,591,984</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262,001,586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8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458,029,643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Includes unamortized debt issuance costs of $2.6 million.</w:t>
      </w:r>
    </w:p>
    <w:p>
      <w:pPr>
        <w:spacing w:after="0" w:line="176" w:lineRule="exact"/>
        <w:rPr>
          <w:rFonts w:ascii="Times New Roman" w:cs="Times New Roman" w:eastAsia="Times New Roman" w:hAnsi="Times New Roman"/>
          <w:sz w:val="32"/>
          <w:szCs w:val="32"/>
          <w:color w:val="auto"/>
          <w:vertAlign w:val="superscript"/>
        </w:rPr>
      </w:pPr>
    </w:p>
    <w:p>
      <w:pPr>
        <w:ind w:left="442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“Summary — Summary Financial Data” and our financial statements and related notes thereto incorporated by reference into this prospectus.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prospectus, including in “Risk Factors” and “Cautionary Statement Regarding Forward-Looking Statements,”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Cardinal Group is a holding company that conducts no operations and our principal assets are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consolidated financial statements for the economic interest in Cardinal held by the Continuing Equity Holders.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Public Offering and Reorganization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completed our initial public offering of 11,500,000 shares of our Class A Common Stock at a price to the public of $21.00 per share on December 11, 2025, and on December 12, 2025, pursuant to the exercise in full of the underwriters’ option,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Units from Cardinal for approximately $258.3 million in aggregate and became the sole managing member of Cardinal. In connection with the IPO, we also issued 23,387,813 shares of our Class B Common Stock to the Continuing Equity Holders, which is equal to the number of LLC Units held by such Continuing Equity Holders, at the time of such issuance of Class B Common Stock, for nominal consideration. As a result of the above, Cardinal Group is a holding company with no direct operations and our principal assets are the equity interests in Cardinal that we own. Cardinal, in turn, is a holding company, the principal assets of which consist of the equity interests in its direct and indirect subsidiaries. Prior to the IPO, all of our business was conducted through Cardinal NC.</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 of $167.5 million, supported by a robust backlog of $854.0 million at March 31, 2026, compared to revenue of $81.8 million for the three months ended March 31, 2025. For the three months ended March 31, 2026, net income was $11.5 million, Gross Profit was $24.9 million, Adjusted Gross Profit was $34.2 million, EBITDA was $24.0 million and Adjusted EBITDA was $26.8 million, compared to net income of $6.6 million, Gross Profit of $9.9 million, Adjusted Gross Profit of $16.5 million, EBITDA of $14.3 million and Adjusted EBITDA of $14.6 million for the three months ended March 31, 2025. For the three months ended March 31, 2026, our net income margin was 6.9%, EBITDA Margin was 14.4%, Adjusted EBITDA Margin was 16.0%, Gross Profit Margin was 14.9% and Adjusted Gross Profit Margin was 20.4%, compared to net income margin of 8.1%, EBITDA Margin of 17.4%, Adjusted EBITDA Margin of 17.8%, Gross Profit Margin of 12.1% and Adjusted Gross Profit Margin of 20.2% for the three months ended March 31, 2025. Our backlog enables management to assess future revenue visibility and anticipate business activity.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we generated revenue of $456.0 million, supported by a robust backlog of $682.0 million at December 31, 2025, compared to revenue of $315.2 million for the year ended December 31, 2024. For the year ended December 31, 2025, net income was $31.1 million, Gross Profit was $63.8 million, Adjusted Gross Profit was $96.1 million, EBITDA was $72.3 million and Adjusted EBITDA was $81.5 million, compared to net income of $28.3 million, Gross Profit of $46.6 million, Adjusted Gross Profit of $65.3 million, EBITDA of $53.1 million and Adjusted EBITDA of $56.5 million for the year ended December 31, 2024. For the year ended December 31, 2025, our net income margin was 6.8%, EBITDA Margin was 15.8%, Adjusted EBITDA Margin was 17.9%, Gross Profit Margin was 14.0% and Adjusted Gross Profit Margin was 21.1%, compared to net income margin of 9.0%, EBITDA Margin of 16.9%, Adjusted EBITDA Margin of 17.9%, Gross Profit Margin of 14.8% and Adjusted Gross Profit Margin of 20.7% for the year ended December 31, 2024. Our backlog enables management to assess future revenue visibility and anticipate business activity.</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 rules. For example, in this prospectus, we present Adjusted Gross Profit, Adjusted Gross Profit Margin, EBITDA, Adjusted EBITDA, EBITDA Margin and Adjusted EBITDA Margin, all of which are non-GAAP financial measures as defined in Item 10(e) of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discussion below under “— Non-GAAP Financial Measures.”</w:t>
      </w:r>
    </w:p>
    <w:p>
      <w:pPr>
        <w:sectPr>
          <w:pgSz w:w="11900" w:h="16838" w:orient="portrait"/>
          <w:cols w:equalWidth="0" w:num="1">
            <w:col w:w="9019"/>
          </w:cols>
          <w:pgMar w:left="1440" w:top="270"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3, 2025, Cardinal Civil Contracting Charlotte, LLC acquired substantially all of the operating assets and certain liabilities of Purcell Construction, Inc., Purcell Construction Group, LLC, and Orange T, LLC (collectively referred to herein as “Purcell”).</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30, 2025, the Company formed Cardinal Civil Contracting Triad, LLC (“Triad”), which acquired substantially all of the operating assets and certain liabilities of Page and Associates, Inc., and MJS &amp; GCP, LLC (collectively referred to herein as “Page”). Page operated a turn-key site work contracting business primarily in the Greensboro, North Carolina market.</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1, 2025, we acquired substantially all of the assets of Red Clay Industries, Inc. Red Clay is a provider of asphalt paving, concrete contracting, concrete reclamation and soil stabilization in Charlotte and surrounding areas, which includes operations in South Carolina.</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February 18, 2026, we acquired Sugar Hill, Georgia-based ALGC. A fourth-generation, high-growth market leader, ALGC provides comprehensive site development solutions, including grading, underground utilities, erosion control, and clearing, supporting large-scale commercial, industrial, and residential construction in Georgia and South Carolina.</w:t>
      </w:r>
    </w:p>
    <w:p>
      <w:pPr>
        <w:spacing w:after="0" w:line="8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acquisitions are consistent with our strategy of acquiring either a starting site preparation business or a tuck-in acquisition in a market, and represent a further step in Cardinal’s expansion into the Southeast.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those described below and in the sections titled “Risk Factors” and “Cautionary Statement Regarding Forward-Looking Statements” included elsewhere in this prospectus.</w:t>
      </w:r>
    </w:p>
    <w:p>
      <w:pPr>
        <w:spacing w:after="0" w:line="93" w:lineRule="exact"/>
        <w:rPr>
          <w:sz w:val="20"/>
          <w:szCs w:val="20"/>
          <w:color w:val="auto"/>
        </w:rPr>
      </w:pPr>
    </w:p>
    <w:p>
      <w:pPr>
        <w:jc w:val="both"/>
        <w:ind w:left="1320" w:right="459" w:hanging="434"/>
        <w:spacing w:after="0" w:line="25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to build out the basics of our site preparation business in a given market and focus initially on residential home building. </w:t>
      </w:r>
      <w:r>
        <w:rPr>
          <w:rFonts w:ascii="Times New Roman" w:cs="Times New Roman" w:eastAsia="Times New Roman" w:hAnsi="Times New Roman"/>
          <w:sz w:val="18"/>
          <w:szCs w:val="18"/>
          <w:color w:val="auto"/>
        </w:rPr>
        <w:t>We believe starting with residential construction in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gives us large, multi-phase opportunities with the ability to establish our service reputation, which can help in other adjacent cities in the future. We start with core site preparation services, such as underground capabilities like drilling and blasting, wet utility work (wastewater, fresh water and storm drainage), electrical utility conduit lines and grading.</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additional service lines and continued vertical integration. </w:t>
      </w:r>
      <w:r>
        <w:rPr>
          <w:rFonts w:ascii="Times New Roman" w:cs="Times New Roman" w:eastAsia="Times New Roman" w:hAnsi="Times New Roman"/>
          <w:sz w:val="18"/>
          <w:szCs w:val="18"/>
          <w:color w:val="auto"/>
        </w:rPr>
        <w:t>By adding capabilities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complementary to our core construction competencies, we are able to improve our breadth of service to our customers and improve our Gross Profit Margin opportunities, more effectively compete for contracts and compete for contracts that might not otherwise be available to us. These capabilities may be through internal efforts or small, tuck-in acquisitions. Some of these additional capabilities include paving, asphalt plants, CCTV inspection, drilling and blasting and concrete work.</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the customer mix. </w:t>
      </w:r>
      <w:r>
        <w:rPr>
          <w:rFonts w:ascii="Times New Roman" w:cs="Times New Roman" w:eastAsia="Times New Roman" w:hAnsi="Times New Roman"/>
          <w:sz w:val="18"/>
          <w:szCs w:val="18"/>
          <w:color w:val="auto"/>
        </w:rPr>
        <w:t>While the initial activity in a market focuses on residential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once our full capabilities are close to complete, we can more effectively seek out other customers within the commercial, industrial, retail and state infrastructure market.</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into adjacent markets. </w:t>
      </w:r>
      <w:r>
        <w:rPr>
          <w:rFonts w:ascii="Times New Roman" w:cs="Times New Roman" w:eastAsia="Times New Roman" w:hAnsi="Times New Roman"/>
          <w:sz w:val="18"/>
          <w:szCs w:val="18"/>
          <w:color w:val="auto"/>
        </w:rPr>
        <w:t>As an example, we started in Raleigh, NC. We entered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Charlotte market in 2023 via a small acquisition and now Charlotte is roughly 21% of our total revenue and growing faster than Raleigh for the twelve months ended December 31, 2025. We entered the Greensboro, NC market in 2024, expanded further into this market in 2025, and have entered the Georgia market in February 2026 with the acquisition of ALGC. We believe we have opportunities to expand our presence in Wilmington, NC, South Carolina and Georgia as well as into Tennessee and Florida.</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Develop Our Employees. </w:t>
      </w:r>
      <w:r>
        <w:rPr>
          <w:rFonts w:ascii="Times New Roman" w:cs="Times New Roman" w:eastAsia="Times New Roman" w:hAnsi="Times New Roman"/>
          <w:sz w:val="18"/>
          <w:szCs w:val="18"/>
          <w:color w:val="auto"/>
        </w:rPr>
        <w:t>We believe that our employees are key to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our business strategy, and we will continue allocating significant resources in order to attract and retain talented managers and supervisory and field personnel.</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Factors Impacting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Backlog (period end)</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as well as to reflect changed conditions, change orders and other variations from initially anticipated contract revenues and costs, including completion penalties and bonuses. Revenue recognized on contracts and contracts cancellations are deducted from backlog.</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See “Risk Factors — Risks Related to Our Business and Industry.”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“Risk Factors — Risks Related to Our Business and Industry.”</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28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351,000,000</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Letters of intent and issued contracts</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284,000,000</w:t>
            </w: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79,000,000</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152,000,000</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161,000,000</w:t>
            </w:r>
          </w:p>
        </w:tc>
      </w:tr>
      <w:tr>
        <w:trPr>
          <w:trHeight w:val="27"/>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512,000,000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 Contracts — Contract Management Process.”</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backlog by customer type and contract pricing method as of the dates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sector, lump sum</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479,000,000</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 fixed unit price</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55,000,000</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45,000,000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sector, fixed unit price</w:t>
            </w: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33,000,000</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37,000,000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vMerge w:val="continue"/>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lump sum contracts require us to perform a defined scope of work for a stated total price. Under this structure, we bear the economic risk of cost overruns or inefficiencies, and actual profit may differ from initial estimates. Our fixed unit price contracts provide for payment of a specified amount per contractual unit of measure, with total revenue determined by the actual quantities completed. Our private sector customers are non-government entities, consisting primarily of residential homebuilders. Our public sector customers are governmental agencies, such as state and federal departments of transportation.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expect to recognize between $702 million and $776 million of our backlog within the twelve months following March 31, 2026. This estimated range is based on existing project schedules and other current assumptions. Actual timing and amounts may differ materially due to factors such as changes in project scope or schedules, weather-related or customer-driven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rollforward of our backlog at the periods indicated. The rollforwards reflect the value of new awards and adjustments to existing contracts, and reductions for revenue recognized as projects progress.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backlog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682,000,000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401,000,000</w:t>
            </w: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New awards and adjustments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contracts</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340,000,000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426,000,000</w:t>
            </w:r>
          </w:p>
        </w:tc>
      </w:tr>
      <w:tr>
        <w:trPr>
          <w:trHeight w:val="41"/>
        </w:trPr>
        <w:tc>
          <w:tcPr>
            <w:tcW w:w="2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Revenue recognized on contracts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(168,000,000)</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(315,000,000)</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Ending backlog</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140" w:type="dxa"/>
            <w:vAlign w:val="bottom"/>
          </w:tcPr>
          <w:p>
            <w:pPr>
              <w:spacing w:after="0"/>
              <w:rPr>
                <w:sz w:val="19"/>
                <w:szCs w:val="19"/>
                <w:color w:val="auto"/>
              </w:rPr>
            </w:pPr>
          </w:p>
        </w:tc>
      </w:tr>
    </w:tbl>
    <w:p>
      <w:pPr>
        <w:spacing w:after="0" w:line="19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increase in backlog was primarily due to new project awards, partially offset by revenue recognized on contracts in progress. The increase in new project awards was across the Company’s Greensboro, Raleigh and Charlotte markets primarily due to organic growth, but also as a result of the 2025 acquisitions of Purcell, Page and Red Clay. Backlog growth was also driven by signed contracts that converted from letters of intent, supported by our investments in equipment and work crews through both organic and acquisition-related purchases.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backlog increase at December 31, 2025 was concentrated in private-sector lump sum contracts, primarily with residential homebuilders, but also included a notable 188% increase in public-sector awards to $37 million as we expanded public infrastructure services in existing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provided information in this prospectus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There are limitations to the use of the non-GAAP financial measures presented in this prospectus.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non-cash charges related to assets acquired or constructed in prior periods.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Gross Profit Margin are non-GAAP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non-GAAP measure only as a supplemental measure to GAAP results to provide a more complete understanding of our performance.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define Adjusted Gross Profit Margin as Adjusted Gross Profit as a percentage of revenue. The table directly below reconciles Adjusted Gross Profit to Gross Profit, the most directly comparable GAAP measure and shows Gross Profit calculated as revenues less cost of revenues (excluding depreciation and amortization) and depreciation and amortization expense. While Gross Profit is not presented as a separate line item or subtotal in our audited financial statements for the years ended December 31, 2025, 2024 and 2023, we present Gross Profit in the table below solely to facilitate the reconciliation of Adjusted Gross Profit, a non-GAAP measure, to the most directly comparable GAAP measure.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2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456,045,369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shown separately</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(133,319,083)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(65,277,978)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(359,897,579)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9,924,446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63,773,029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46,635,202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34,189,633</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16,523,287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96,147,790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define EBITDA as net income for the period adjusted for interest expense, net income tax expense, depreciation and amortization expense. Adjusted EBITDA further adjusts EBITDA for certain expenses associated with non-routine transactions, including (i) transaction fees and acquisition-related 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loss on extinguishment and refinancing costs, (vi) stock-based compensation, (vii) non-routine IPO related travel and compensation, and (viii) other non-routine gains and charges that we do not believe reflect our underlying business performance. We define EBITDA Margin 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EBITDA as a percentage of revenue, and Adjusted EBITDA Margin as Adjusted EBITDA as a percentage of revenue. The following table provides a reconciliation of net income and net income margin, the most closely comparable GAAP financial measure, to EBITDA, Adjusted EBITDA, EBITDA Margin and Adjusted EBITDA Margin:</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44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08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$ 11,481,036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$ 31,093,483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6,825,542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1,966,678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$ 24,049,899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14,266,862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$ 72,260,464</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53,141,547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fees and acquisition-related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2,318,645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155,227</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792,966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454,761</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620,221</w:t>
            </w:r>
          </w:p>
        </w:tc>
        <w:tc>
          <w:tcPr>
            <w:tcW w:w="0" w:type="dxa"/>
            <w:vAlign w:val="bottom"/>
          </w:tcPr>
          <w:p>
            <w:pPr>
              <w:spacing w:after="0"/>
              <w:rPr>
                <w:sz w:val="1"/>
                <w:szCs w:val="1"/>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Transition and consulting arrangements</w:t>
            </w:r>
            <w:r>
              <w:rPr>
                <w:rFonts w:ascii="Times New Roman" w:cs="Times New Roman" w:eastAsia="Times New Roman" w:hAnsi="Times New Roman"/>
                <w:sz w:val="20"/>
                <w:szCs w:val="20"/>
                <w:color w:val="auto"/>
                <w:vertAlign w:val="superscript"/>
              </w:rPr>
              <w:t>(3)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8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claims</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and refinancing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(5)</w:t>
            </w:r>
          </w:p>
        </w:tc>
        <w:tc>
          <w:tcPr>
            <w:tcW w:w="12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1,389,901</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5,868,592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Non-recurring IPO related travel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2,342,026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121,739</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51,874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$ 26,799,967</w:t>
            </w:r>
          </w:p>
        </w:tc>
        <w:tc>
          <w:tcPr>
            <w:tcW w:w="1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14,572,575</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$ 81,465,922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(7)</w:t>
            </w: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0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(7)</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(7)</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transaction fees and acquisition-related costs incurred in connection with acquisitions and planned acquisitions.</w:t>
      </w: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associated with legal matters in which Cardinal is a defendant.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consulting and recruiting costs related to acquisitions and public company readiness.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revenue impact from customer claims.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financing and extinguishment-related expenses.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other gains and charges that we do not believe reflect our underlying business performance.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detailed discussion of our financial and operating results is presented in the following sections.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2026, Compared to Quarter Ended March 31, 2025</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6"/>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133,319,083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65,277,978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10,142,131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2,125,970</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(110,945)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14,780,141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7,909,421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241,400</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11,481,036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8,062,598</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1,164,764</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3,418,438</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5,476,981</w:t>
            </w:r>
          </w:p>
        </w:tc>
        <w:tc>
          <w:tcPr>
            <w:tcW w:w="0" w:type="dxa"/>
            <w:vAlign w:val="bottom"/>
          </w:tcPr>
          <w:p>
            <w:pPr>
              <w:spacing w:after="0"/>
              <w:rPr>
                <w:sz w:val="1"/>
                <w:szCs w:val="1"/>
                <w:color w:val="auto"/>
              </w:rPr>
            </w:pPr>
          </w:p>
        </w:tc>
      </w:tr>
      <w:tr>
        <w:trPr>
          <w:trHeight w:val="40"/>
        </w:trPr>
        <w:tc>
          <w:tcPr>
            <w:tcW w:w="5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Revenues — Revenues were $167.5 million for the three months ended March 31, 2026, an increase of $85.7 million or 104.8%, compared to $81.8 million for the three months ended March 31, 2025. The increase in Revenues was driven by approximately $52.1 million of organic growth and $33.6 million of acquisition-related revenue growth. Organic growth reflects higher volume from increased residential demand across North Carolina and contributions from ongoing end use market/customer diversification initiatives.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Revenues — Cost of revenues were $133.3 million for the quarter ended March 31, 2026, an increase of $68.0 million or 104.2% compared to $65.3 million for the quarter ended March 31, 2025. The increase was primarily associated with organic and acquisition-related growth, partially offset by efficiency gains.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Gross Profit and Gross Profit Margin — Gross Profit was $24.9 million for the three months ended March 31, 2026, an increase of $15.0 million or 151.1%, compared to $9.9 million for the three months ended March 31, 2025. The increase in Gross Profit was primarily driven by both strong organic and acquisition-related revenue growth, partially offset by an increase in cost of revenues associated with overall business growth.</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increased to 14.9% for the three months ended March 31, 2026, as compared to 12.1% for the three months ended March 31, 2025. The increase in Gross Profit Margin reflects scale benefits across higher volumes and operating cost control, offset in part by higher amortization expense resulting from intangible assets recognized as part of 2025 and early 2026 acquisitions.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performance was further offset by market and end use expansions which carried a lower initial margin profile. The Company expects margin performance to improve over time as these expansions integrate and anticipated scale benefits are realized.</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$10.1 million, or 6% of revenue, for the three months ended March 31, 2026, compared to $2.1 million, or 3.4% of revenue, for the three months ended March 31, 2025. The increase was primarily attributable to non-recurring acquisition-related costs as well as the Company’s transition to operating as a public company, including increased compliance, governance, and reporting costs. The Company also increased headcount within its estimating function in anticipation of continued growth. Excluding non-recurring impacts, continuing general and administrative expenses were 4% of revenue for the three months ended March 31, 2026.</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$9.3 million for the three months ended March 31, 2026, compared to $6.6 million for the three months ended March 31, 2025. The increase was primarily driven by intangible assets recognized as part of purchase accounting and equipment purchased through 2025 and early 2026 acquisitions, followed by increased depreciation related to recent capital expenditures for the Company’s legacy operations. The increase was partially offset by a change in the Company’s depreciation method for fixed assets from the accelerated method to straight-line, effective January 1, 2026, which resulted in a reduction of depreciation expense of approximately $0.6 million for the three months ended March 31, 2026.</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$2.2 million for the three months ended March 31, 2026, compared to $1.0 million for the three months ended March 31, 2025. The increase was primarily attributable to higher outstanding debt primarily to finance our acquisitions completed in 2025 and early 2026, partially offset by an increase in interest income of $0.6 million.</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Other Expenses, Net — Changes in other expenses, net for the three months ended March 31, 2026 were immaterial.</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$1.1 million for the three months ended March 31, 2026 as compared with $0.0 million for the three months ended March 31,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quarter ended March 31, 2026 reflects a fundamentally different tax profile than in prior years.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$8.1 million for the three months ended March 31, 2026, a 592.2% increase compared to $1.2 million for the three months ended March 31, 2025. The $6.9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income for the year ended December 31, 2025 and 2024, along with certain data in percentages: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456,045,369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359,897,579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10,687,302</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32,374,761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40,404,407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35,934,366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6,825,542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1,456,565</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1,966,678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31,093,483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8,407,426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6,939,888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22,686,057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21,357,346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Revenues — Revenues were $456.0 million for the year ended December 31, 2025, an increase of $140.9 million or 44.7%, compared to $315.2 million for the year ended December 31, 2024. The increase in Revenues was driven by approximately $103.2 million of organic growth and $37.7 million of acquisition-related revenue growth. Broad-based organic growth was realized across North Carolina reflecting continued strength in the residential end market coupled with notably strong increases from the commercial and DOT/Municipal end markets that reflect ongoing progress in diversifying our end uses and customer base.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Gross Profit, Adjusted Gross Profit, Gross Profit Margin and Adjusted Gross Profit Margin — Gross Profit was $63.8 million for the year ended December 31, 2025, an increase of $17.1 million or 36.7%, compared to $46.6 million for the year ended December 31, 2024. Adjusted Gross Profit was $96.1 million for the year ended December 31, 2025, an increase of $30.8 million, or 47.2% compared to $65.3 million for the year ended December 31, 2024. The increase in Gross Profit and Adjusted Gross Profit was primarily driven by both strong organic and acquisition-related revenue growth, partially offset by an increase in cost of revenues associated with overall business growth.</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decreased to 14.0% for the year ended December 31, 2025, as compared to 14.8% for the year ended December 31, 2024. The decrease in Gross Profit Margin was primarily attributable to higher amortization expense resulting from intangible assets recognized as part of purchase accounting from 2025 acquisitions.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Adjusted Gross Profit Margin increased to 21.1% for the year ended December 31, 2025, as compared to 20.7% for the year ended December 31, 2024. The increase in Adjusted Gross Profit Margin was primarily attributable to effective cost management in the context of higher revenue.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and Adjusted Gross Profit Margin were also unfavorably impacted by market and end use expansions which carried a lower initial margin profile. The Company expects margin performance to improve over time as these expansions integrate and anticipated scale benefits are realized.</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$23.5 million, or 5.2% of revenue, for the year ended December 31, 2025, compared to $10.7 million, or 3.4% of revenue, for the year ended December 31, 2024. The increase was primarily attributable to non-recurring acquisition and IPO-related costs. Excluding non-recurring impacts, continuing General and administrative expenses were 3.3% of revenue for the year ended December 31, 2025.</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$32.4 million for the year ended December 31, 2025, compared to $18.7 million for the year ended December 31, 2024. The increase was primarily driven by intangible assets recognized as part of purchase accounting and equipment purchased through 2025 acquisitions, followed by increased depreciation related to recent capital expenditures for the Company’s legacy operations.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$6.8 million for the year ended December 31, 2025, compared to $4.8 million for the year ended December 31, 2024. The increase was primarily attributable to higher outstanding debt during the year primarily to finance our acquisitions of Purcell in January 2025, Page in May 2025, and Red Clay in October 2025, partially offset by $0.2 million of interest income in 2025.</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Expenses, Net — Total other expenses, net was $0.5 million for the year ended December 31, 2025, compared to $1.5 million for the year ended December 31, 2024. The decrease was primarily due to transaction costs related to our acquisitions of Purcell and Page, which were largely incurred during the year ended December 31, 2024 in advance of the closings in the first and second quarters of 2025, respectively, partially offset by costs incurred in 2025 for acquisition-related costs.</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$2.0 million for the year ended December 31, 2025 as compared with $1.4 million for the year ended December 31, 2024. In 2024 and 2025,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year ended December 31, 2025 reflects a fundamentally different tax profile than in prior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$8.4 million for the year ended December 31, 2025, a 21.1% increase compared to $6.9 million for the year ended December 31, 2024. The $1.5 million increase primarily reflects a $1.9 million share of net income allocated to Continuing Equity Holders of LLC units following the IPO. This was partially offset by lower income attributed to minority interest after the Company acquired the remaining ownership interests as a result of the Reorganization transactions. As the Company operates under an Up-C arrangement, the ownership attributed to OpCo units held by Continuing Equity Holders is presented as noncontrolling interests on the consolidated balance sheets and income attributable to those units is recognized in proportion to their ownership as an increase to net income attributable to noncontrolling interests in the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Sources of Capital</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availability under our October 2025 Credit Facility and positive cash flows from operations will be sufficient to support working capital and capital expenditure requirements for at least the next 12 months. We have historically generated cash and funded our operations primarily from cash flows from operating activities as well as availability under our credit facilities and other borrowings. We exercise strict controls and have a prudent strategy for our cash management.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coming 12 months, our primary funding needs will revolve around the completion of projects and operating expenses, including interest on our October 2025 Credit Facility. Additionally, we may seek to use our capital to enter new markets or expand in current markets through acquisitions or greenfield startups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extent our current liquidity is insufficient to fund future activities, we may need to raise additional funds, such as refinancing or securing new secured or unsecured debt,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“Risk Factors — Access to financing sources may not be available on favorable terms, or at all, especially in light of current market conditions, which could adversely affect our ability to maximize our returns.”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cash at March 31, 2026 and 2025 was $44.0 million and $22.8 million, respectively. The following table presents consolidated information about cash flows: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9,317,019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12,092,682</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(134,794,623)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(24,221,084)</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72,311,046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13,991,834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(53,166,558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1,863,432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$9.3 million compared to net cash provided by operating activities of $12.1 million for the quarter ended March 31, 2025. The $2.8 million decrease was primarily driven by increased working capital requirements consistent with our growth, specifically increased billings not yet collected for the three months ended March 31, 2026, as well as the Company’s transition to operating as a public company, including increased compliance, governance, and reporting costs.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$134.8 million compared to net cash used of $24.2 million for the three months ended March 31, 2025. The $110.6 million increase was primarily due to the acquisition of ALGC.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$72.3 million compared to net cash used of $14.0 million for the three months ended March 31, 2025. The $58.3 million increase was primarily driven by increased proceeds from notes payable, primarily to fund the acquisition of ALGC.</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Facilities, Debt and Other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from time to time we use borrowings to finance acquisitions, our capital expenditures and working capital needs.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(the “October 2024 Credit Facility”)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2025, outstanding borrowings under the term loan facility of the October 2025 Credit Facility totaled $120.0 million and we had no outstanding borrowings under the revolving facility of the October 2025 Credit Facility. We used a portion of the net proceeds from the IPO to repay $24.3 million outstanding under the revolving facility of the October 2025 Credit Facility (the “Debt Repayment”). Following the Debt Repayment, and incorporating all transactions up to December 31, 2025, we have $75.0 million of availability. As of March 31, 2026, Cardinal was in compliance with all covenants under the October 2025 Facility.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January 2026, Cardinal entered into an interest rate swap for $60.0 million of the total facility, with principal payment terms that match the October 2025 Facility, which is the underlying credit facility. Terms of the swap fix the overall rate assuming a term SOFR rate at 3.8%.</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October 18, 2024, Cardinal NC and certain of its wholly owned subsidiaries entered into an approximately $11.5 million senior secured credit facility with Truist Bank as lender, which consists of</w:t>
      </w:r>
    </w:p>
    <w:p>
      <w:pPr>
        <w:jc w:val="both"/>
        <w:ind w:left="460" w:right="459" w:hanging="6"/>
        <w:spacing w:after="0" w:line="252" w:lineRule="auto"/>
        <w:tabs>
          <w:tab w:leader="none" w:pos="6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first lien term loan facility in the aggregate principal amount of approximately $1.5 million and (ii) a senior secured first lien revolving credit facility that provided up to $10.0 million. The obligations under the October 2024 Credit Facility were secured by substantially all of our assets and the assets of the subsidiary guarantors, subject to certain permitted liens and interest of other parties. Borrowings under the term loan facility bear interest at an Adjusted Term SOFR Rate (as defined in the term loan facility). The term loan facility contained certain financial covenants, among others, including a (i) maximum leverage ratio and (ii) a minimum fixed charge coverage ratio.</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January 2025, Cardinal entered into a $7.2 million debt agreement with a financial institution in connection with the acquisition of Purcell to finance the purchase price. The note payable was secured by real property and assignment of rents and was payable in monthly principal installments over five years with interest payable monthly based on SOFR plus 2.35%.</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 amounts outstanding under the October 2024 Credit Facility were repaid with a portion of the proceeds from borrowings under the October 2025 Credit Facility, and the October 2024 Facility was terminated.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2024, Cardinal and certain of our wholly owned subsidiaries entered into a master equipment security agreement with Truist Equipment Finance Corp. as lender, which consisted of a senior secured first lien facility evidenced by promissory notes in an initial aggregate principal amount of approximately $45.9 million. The obligations under the Equipment Facility were secured by substantially all of our assets and the subsidiary guarantors. Borrowings under the Equipment Facility bore interest at an Adjusted Term SOFR Rate (as defined in the Equipment Facility).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January 2025, Cardinal entered into an agreement which amended the terms of the Equipment Facility (the “Equipment Facility Amendment”) to increase the borrowing capacity for future purchases of equipment, trucks and trailers, which increased the borrowing capacity for future purchases to $27.0 million. In addition, the Equipment Facility Amendment also provided for additional borrowing capacity up to $6.0 million for construction of an asphalt plant.</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October 2025, all amounts outstanding under the Equipment Facility were repaid with a portion of the proceeds from borrowings under the October 2025 Credit Facility and the Equipment Facility was terminated.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December 2025, Cardinal entered into a $1,087,500 Note Payable with First American Commercial Bancorp,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Compliance and Other</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ratio of not less than 1.25x, in each case, tested on a quarterly basis. As of December 31, 2025, we were in compliance with all of our restrictive and financial covenants. Our debt is recorded at its carrying amount in the Condensed Consolidated Balance Sheets. Based upon the current market rates for debt with similar credit risk and maturities, at March 31, 2026 the fair value of our debt outstanding approximated the carrying value, as interest is based on Term SOFR (as defined in the October 2025 Credit Agreement) plus an applicable margin.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Cardinal has equipment under finance leases that have payments through various dates with the earliest lease beginning in July 2022 and the final lease expiring in December 2028. As of March 31, 2026, Cardinal had a total of $9.0 million of minimum finance lease payments remaining. The assets and liabilities under the finance leases are recorded at the present value of the future minimum lease payments using a weighted-average discount rate of 4.80%. As of March 31, 2026, the weighted-average remaining lease term was 2.44 years. Further information regarding finance leases can be found in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Cardinal Group’s audited financial statements incorporated by reference into this prospectus for more information.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and borrowings, from time to time we may issue common stock to finance acquisitions.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Bonding</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quarter ended March 31, 2026, we generated approximately 3%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Strategy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continue to explore additional revenue growth and capital alternatives to improve leverage and strengthen our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holding company we have no material assets other than our ownership of LLC Units of Cardinal. We have no independent means of generating revenue. Cardinal’s Operating Agreement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Regarding the ability of Cardinal to make distributions to us, the terms of their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Similar to the Tax Receivable Agreement, the Tax Benefit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acquisition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“Risk Factors — Risks Related to Our Organizational Structure” and “Certain Relationships and Related Party Transactions”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material cash requirements from contractual obligations at March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2027 – 2028</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2029 – 2030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16,786</w:t>
            </w:r>
          </w:p>
        </w:tc>
        <w:tc>
          <w:tcPr>
            <w:tcW w:w="32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45,092</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171,884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obligation on finance lease and operating lease obligations and operating leases executed but not yet commenced as of the reporting date.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Capital equipment is acquired as needed by increased levels of production and to replace retiring equipment. Capital expenditures, net of disposals, incurred during the quarter ended March 31, 2026 were $9.3 million. Management expects capital expenditures will be materially higher than prior years because we have begun building our own asphalt manufacturing plant, and we are upgrading the fleet of Cardinal and may make strategic acquisitions. Capital expenditures, net of disposals, incurred during the quarter ended March 31, 2025 were $10.4 million. The award of a project requiring significant purchases of equipment or other factors could result in increased expenditures.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preparing our financial statements in conformity with U.S. GAAP, we must make decisions that impact the reported amounts of assets, liabilities, revenue,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consolidated financial statements are prepared. Our significant accounting policies are described in “Note 2 — Significant accounting policies” to our unaudited condensed consolidated financial statements included in our Quarterly Report on Form 10-Q which is incorporated by reference into this prospectus.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 in Accounting Estimate — Property and Equipment Depreciation Method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effect of the change on the three months ended March 31, 2026 was a decrease in depreciation expense of approximately $581,223 and a corresponding increase in income before income taxes of approximately $581,223, compared to what would have been reported under the accelerated method. The effect on net income and earnings per diluted share was approximately $459,166 and $0.03 for the three months ended March 31, 2026.</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“Note 2 — Significant accounting policies” to our unaudited condensed consolidated financial statements included in our Quarterly Report on Form 10-Q which is incorporated by reference into this prospectus for a discussion of new accounting standards.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Credit Facility and our cash balance. Our indebtedness as of March 31, 2026 included $198.6 million of variable rate debt and $0.1 million of fixed rate debt. As of March 31, 2026, we held cash of $44.0 million. In January 2026, we entered into an interest rate swap for $60.0 million of the total facility, with principal payment terms that match the underlying credit facility. At March 31, 2026, a 100-basis point (or 1%) increase or decrease in the interest rate would increase or decrease interest expense by approximately $1.4 million per year. Terms of the swap fix the overall rate assuming a term SOFR rate at 3.8%. For more information on the terms of the October 2025 Credit Facility, see “— Credit Facilities, Debt and Other Capital — October 2025 Credit Facility.”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18, 2026, the Company acquired all of the equity interests in ALGC in exchange for aggregate consideration of $245.5 million consisting of (i) $129.0 million in cash (as may be adjusted pursuant to the terms and conditions); (ii) 4,186,062 LLC Units (including an equal number of shares of the Company’s Class B Common Stock), valued at $108.0 million based on the volume weighted average price of the Company’s Class A Common Stock over the ten trading days ended February 13, 2026 and (iii) 345,680 shares of Class A Common Stock which were issued to employees of, and service providers to, ALGC at the direction of the sellers. The cash portion of the acquisition was funded through a combination of cash on hand and borrowings under our credit facility. The equity issued to the seller and the Class A Common Stock issued at the direction of the sellers are subject to lock-up agreements for 180 days. ALGC is engaged in the business of providing infrastructure services to residential, industrial and commercial projects in the greater Atlanta, Georgia area.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One of the adjustments to the cash consideration in the acquisition of ALGC consists of payments by Cardinal to the former owners of ALGC pursuant to a tax benefit agreement (the “ALGC Tax Benefit Agreement”). Similar to the Tax Receivable Agreement, the ALGC Tax Benefit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acquisition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Infrastructure Construction Capabilities. </w:t>
      </w:r>
      <w:r>
        <w:rPr>
          <w:rFonts w:ascii="Times New Roman" w:cs="Times New Roman" w:eastAsia="Times New Roman" w:hAnsi="Times New Roman"/>
          <w:sz w:val="18"/>
          <w:szCs w:val="18"/>
          <w:color w:val="auto"/>
        </w:rPr>
        <w:t>We provide a comprehensive 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Relationships with Regional and National Home Builders. </w:t>
      </w: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Position in Our Markets. </w:t>
      </w:r>
      <w:r>
        <w:rPr>
          <w:rFonts w:ascii="Times New Roman" w:cs="Times New Roman" w:eastAsia="Times New Roman" w:hAnsi="Times New Roman"/>
          <w:sz w:val="18"/>
          <w:szCs w:val="18"/>
          <w:color w:val="auto"/>
        </w:rPr>
        <w:t>We are an established leader in our markets based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Distinct Scale Advantage. </w:t>
      </w:r>
      <w:r>
        <w:rPr>
          <w:rFonts w:ascii="Times New Roman" w:cs="Times New Roman" w:eastAsia="Times New Roman" w:hAnsi="Times New Roman"/>
          <w:sz w:val="18"/>
          <w:szCs w:val="18"/>
          <w:color w:val="auto"/>
        </w:rPr>
        <w:t>Our significant scale provides us with a distinct competitive advantage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Consistent History of Managing Construction Projects and Contract Risk. </w:t>
      </w:r>
      <w:r>
        <w:rPr>
          <w:rFonts w:ascii="Times New Roman" w:cs="Times New Roman" w:eastAsia="Times New Roman" w:hAnsi="Times New Roman"/>
          <w:sz w:val="18"/>
          <w:szCs w:val="18"/>
          <w:color w:val="auto"/>
        </w:rPr>
        <w:t>Our significant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Opportunistic Acquisition Process. </w:t>
      </w:r>
      <w:r>
        <w:rPr>
          <w:rFonts w:ascii="Times New Roman" w:cs="Times New Roman" w:eastAsia="Times New Roman" w:hAnsi="Times New Roman"/>
          <w:sz w:val="18"/>
          <w:szCs w:val="18"/>
          <w:color w:val="auto"/>
        </w:rPr>
        <w:t>Through March 31, 2026, we had successfully completed seven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 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the acquisition, allowing them to remain involved and aligned with our company’s long-term success.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and Skilled Workforce. </w:t>
      </w:r>
      <w:r>
        <w:rPr>
          <w:rFonts w:ascii="Times New Roman" w:cs="Times New Roman" w:eastAsia="Times New Roman" w:hAnsi="Times New Roman"/>
          <w:sz w:val="18"/>
          <w:szCs w:val="18"/>
          <w:color w:val="auto"/>
        </w:rPr>
        <w:t>Our Chief Executive Officer and founder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2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Emphasis on Culture. </w:t>
      </w:r>
      <w:r>
        <w:rPr>
          <w:rFonts w:ascii="Times New Roman" w:cs="Times New Roman" w:eastAsia="Times New Roman" w:hAnsi="Times New Roman"/>
          <w:sz w:val="18"/>
          <w:szCs w:val="18"/>
          <w:color w:val="auto"/>
        </w:rPr>
        <w:t>Our culture is defined by an execution-focused environment where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believe we have opportunities to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and it is currently in the commissioning phase.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provide our services using traditional general contracting arrangements, which are predominantly fixed unit price or “lump sum” contracts awarded based on the lowest bid. Fixed unit price contracts require us to provide materials and services at a fixed unit price based on agreed quantities irrespective of our actual per unit costs. Lump sum contracts require the contract work to be completed for a single price irrespective of our actual costs incurred. A small amount of our revenue is produced under cost-plus or “time and material” contracts. Contracts may include variable consideration arising from customer-initiated or company-initiated change orders. We estimate that our median contract size is approximately $2.0 million and further estimate that our single project delivery capacity is over $100 million. For the years ended December 31, 2025 and 2024, respectively, 99% and 99% of our revenue related to fixed price contracts, with the remaining 1% and 1% from time and material billed contracts.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Fixed unit price contracts are generally used in competitively bid public civil construction contracts and, to a lesser degree, building construction contracts. Contractors under fixed unit price contracts are generally committed to providing all of the resources required to complete a contract for a fixed price per unit. Fixed unit price contracts generally transfer more risk to the contractor but offer the opportunity, under favorable circumstances, for greater profits. These contracts are generally subject to negotiated change orders, frequently due to a difference in site conditions from those anticipated when the bid is placed. Typically, one change order is issued upon completion of a contract to account for all quantity deviations from the original contract made during the construction process. Some contracts provide for penalties if the contract is not completed on time, or incentives if it is completed ahead of schedule.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customer contracts include clearly defined scope, payment terms, and enforceable rights and obligations. We bill monthly for work performed, with payments due within 30 days, subject to retainage that is collected after we complete the project. Each contract generally contains a single performance obligation to provide land and construction site preparation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Management Process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identify potential contracts from a variety of sources, including subscriber services that notify us of contracts out for bid, advertisements by federal, state, and local governmental entities, our business development efforts, and meetings with other participants in the construction industry. Once we have determined which contracts are available, we decide which ones to pursue based on factors such as the relevant skills required, contract size and duration, the availability of our personnel and equipment, the size and composition of our current backlog, our competitive advantages and disadvantages, prior experience, the contracting agency or customer, the source of contract funding, geographic location, likely competition, construction risks, Gross Profit Margin opportunities, penalties or incentives, and the type of contract.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 condition to pursuing certain contracts, we are sometimes required to complete a prequalification process with the applicable agency or customer. The prequalification process generally limits bidders to those companies with operational experience and financial capability to effectively complete the particular contract in accordance with the plans, specifications, and construction schedule.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are several factors that can create variability in contract performance and financial results compared to our bid assumptions on a contract. The most significant of these include the completeness and accuracy of our original bid analysis, recognition of costs associated with added scope changes, extended overhead due to customer and weather delays subcontractor performance issues, changes in productivity expectations, site conditions that differ from those assumed in the original bid, and changes in the availability and proximity of materials. All of these factors can lead to inefficiencies in contract performance, which can increase costs and lower profits.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estimating process in North Carolina typically involves three phases. Initially, we assess the level of anticipated competition and our available resources for the prospective project. If we then decide to proceed, the second phase involves a detailed review of the plans and specifications, covering work types, estimated quantities, schedule, and key risks, along with estimates for labor, material, equipment, subcontractors, and the project staffing requirements. Estimates are prepared on a per unit basis for each line item, with the typical contract containing 50 to over 300 items. In the final phase, management reviews all assumptions regarding cost, approach, means and methods, productivity, risk and the estimated profit margin. Profit will vary based on management’s assessment of the degree of difficulty of the contract, the current competitive climate and the size and makeup of our backlog. Our project managers are intimately involved throughout the estimating and construction process so that contract issues and risks relating thereto can be understood and addressed on a timely basis. To manage the risk of changes in material prices and subcontracting costs used in tendering bids for construction contracts, we obtain firm quotations from our suppliers and subcontractors before submitting a bid.</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Requests for proposals or negotiated contracts with private or public customers are generally awarded based on a combination of technical capability, service and price, taking into consideration factors such as contract schedule and prior experience. In either case, bidders must post a bid bond for generally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construction phase of a contract, we monitor our progress by comparing actual costs incurred and quantities completed to date with budgeted amounts and the contract schedule and periodically prepare an updated estimate of total forecasted revenue, cost, and expected profit for the contract.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the normal course of most contracts, the customer, and sometimes the contractor, initiate modifications or changes to the original contract to reflect, among other things, changes in quantities, specifications, or design, method or manner of performance, facilities, materials, site conditions and period for completion of the work. Generally, the scope and price of these modifications are documented in a “change order” to the original contract and reviewed, approved and paid in accordance with the normal change order provisions of the contract. We are often required to perform extra or change order work as directed by the customer even if the customer has not agreed in advance on the scope or price of the work to be performed. This process may result in disputes over whether the work performed is beyond the scope of the work included in the original contract plans and specifications or, even if the customer agrees that the work performed qualifies as extra work, the price that the customer is willing to pay for the extra work. Even when the customer agrees to pay for the extra work, we may be required to fund the cost of such work for a lengthy period until the change order is approved and funded by the customer. In addition, any delay caused by the extra work may adversely impact the timely scheduling of other work on the contract (or on other contracts) and our ability to meet contract milestone dates.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process of resolving contract claims varies from one contract to another but, in general, we attempt to resolve claims at the project supervisory level through the normal change order process or, if necessary, with higher levels of management within our organization and the customer’s organization. When a potential claim arises on a contract, we typically have the contractual obligation to perform the work and must incur the related costs. We do not recoup the costs unless and until the claim is resolved, which could take a significant amount of time.</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Most of our construction contracts provide for termination of the contract for the convenience of the customer, with provisions to pay us only for work performed through the date of termination.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We act as the prime contractor on almost all of the construction contracts that we undertake. We complete the majority of our contracts with our own resources, and we typically subcontract specialized activities such as traffic control, electrical systems, signage, and trucking. As the prime contractor, we are responsible for the performance of the entire contract, including subcontract work. We manage this risk by reviewing the size of the subcontract, the financial stability of the subcontractor and other factors. We require performance and payment bonds on many specialized or large subcontract portions of our contracts. Disadvantaged business enterprise regulations require us to use our best efforts to subcontract a specified portion of contract work performed for governmental entities to certain types of subcontractors, including minority- and women-owned businesses.</w:t>
      </w:r>
    </w:p>
    <w:p>
      <w:pPr>
        <w:spacing w:after="0" w:line="10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almost all residential work is directly negotiated, our customer relationships and industry expertise give us an advantage in the residential market. Additionally, our contracts include financial incentives to meet project milestones on schedule, further increasing our profitability.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Sourcing and Supply Chain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use various materials and components in our construction process and are dependent upon building material suppliers for continuous product availability. Our materials are subject to price fluctuations until we submit a bid on a project begins, at which point prices for that project are locked in via firm quotations. Such price fluctuations may be caused by several factors, including seasonal variation in availability of materials, labor and supply chain disruptions, international trade disputes and resulting tariffs, and increased demand for materials in the markets where we operate. For additional information regarding the risks associated with our dependence on suppliers of materials and subcontractors, see “Risk Factors — Risks Related to Our Business and Industry — Our dependence on suppliers of materials and subcontractors could increase our costs and impair our ability to complete contracts on a timely basis or at all.” The principal raw materials and components used in the construction of our projects are PVC piping, asphalt and concrete, all of which are obtained by local suppliers. In addition, we use various other materials and components in our business that are readily available in the United States. Our objective in procurement is to maximize efficiencies at local, regional, and national levels and to consistently utilize established contractual arrangements. We employ a procurement program that leverages our nimbleness and regional presence to achieve attractive cost savings and, whenever possible, to utilize standard products available from multiple suppliers.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 and Bonding</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of our buildings and equipment are covered by insurance, which our management believes is adequate. In addition, we maintain general liability and excess liability insurance, all in amounts consistent with our risk profile and industry practice. We self-insure our workers’ compensation claims subject to stop-loss insurance coverage.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year ended December 31, 2025, we generated approximately 5% of our revenue from publicly funded construction projects. In situations where our customers require it, we procure surety bonds to secure our performance under those construction contracts.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Typically, a bidder for a contract must post a bid bond generally for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 As is customary, we have agreed to indemnify our bonding company for all losses incurred by it in connection with bonds that are issued, and we have granted our bonding company a security interest in certain assets as collateral for such obligation. We have historically not experienced issues obtaining surety or payment bonds and do not expect to experience issues in our ability to post these types of bonds.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According to the National Utility Contractors Association of the Carolinas, there are approximately 75 contractor members in North Carolina who we consider competitors. These competitors range in size from very small, to very large, national and regional construction companies. Historically, the construction business has not typically required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large amounts of capital, which can result in relative ease of market entry for companies possessing acceptable qualifications. Factors influencing our competitiveness include price, our reputation for quality, our equipment fleet, our financial strength, surety bonding capacity, and prequalification, our knowledge of local markets and conditions, and our project management and estimating abilities. Additionally, due to our vertical integration in asphalt production, some of our competitors are also our customers, as we supply asphalt materials to third parties within the industry. Although some of our competitors are larger than we are and may possess greater resources or provide more vertically integrated services, we believe that we are well-positioned to compete effectively and favorably in the markets in which we operate based on the foregoing factors.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Being one of the largest firms in North Carolina offers several competitive advantages. These include greater flexibility to manage our backlog and to schedule and deploy our workforce and equipment resources more efficiently; more cost-effective purchasing of materials, insurance, and bonds; the ability to provide a broader range of services that would otherwise be provided through subcontractors; and access to substantially more capital and resources to dedicate to each of our contracts. Because we own and maintain most of the equipment required for our contracts and have an experienced workforce to handle many types of municipal civil construction, we are able to bid competitively on many categories of contracts, especially complex, multitask projects.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homebuilding industry, as well as other construction industries, generally exhibit seasonality. For example, weather-related disruptions can affect construction schedules, create variability in profitability, and influence the number of employees required on active projects. We have historically experienced, and in the future expect to continue to experience, variability in our results on a quarterly basis. As a result, our revenue may fluctuate on a quarterly basis, and we may have higher capital requirements in our second, third, and fourth quarters. Our revenue and capital requirements are generally similar across our second, third, and fourth quarters. As a result of seasonal activity, our quarterly results of operations and financial position at the end of a particular quarter, especially the first quarter, are not necessarily representative of the results we expect for the year. We expect this seasonal pattern to continue in the long term.</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 copyright, and trade secret laws, and contractual restrictions such as confidentiality agreements and licenses. We strive to protect the proprietary information we believe is important to our business. We have registered or applied to register certain of our trademarks in the United States. We pursue the registration of domain names for websites that we use and consider material to our business. While much of the intellectual property we use is owned by us, we also use various third-party licensed software in connection with our business. Although we believe these licenses are sufficient for the operation of our business, these licenses typically limit our use of such third-party software to specific uses and for specific time periods.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1,480 employees, including 42 project managers and 57 superintendents who manage over 208 fully equipped crews in our construction business. Of such employees, all were located in North Carolina, with most being field personnel. None of our employees are members of a union. We also utilize subcontractors to fill out our workload when needed.</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business is dependent upon a readily available supply of management, supervisory and field personnel. Substantially all of our employees who work on our contracts are a permanent part of our workforce, and we generally do not utilize many temporary employees and prefer to limit the number of subcontractors. We focus on attracting talented employees through competitive compensation and benefits, targeted recruiting initiatives, and career development opportunities. We invest in employee development through leadership training, technical skill programs, and internal career mobility initiatives intended to support long-term professional growth. Our employees are the foundation of our success, and we emphasize leadership engagement, a strong safety culture, and opportunities for professional growth and advancement. We regularly evaluate employee engagement and satisfaction and promote initiatives that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support collaboration, learning, and long-term career development. We have generally been able to attract sufficient numbers of personnel to support the growth of our operations. Although we do not anticipate any shortage of labor in the near term, we may not be able to continue to attract and retain sufficient employees at all levels due to changes in immigration enforcement practices or compliance standards or for other reasons.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dedicate significant time and resources to properly training and equipping our approximately 1,480 employees, particularly our field personnel. Each of them receives an initial safety orientation, and for certain types of tasks, specific hazard training programs and we conduct extensive safety training programs, which have allowed us to maintain a high safety level at our worksites. As a result, we are proud to report that our Workers Compensation Experience Modification Factor is 0.85, compared to the industry average of 1.00, indicating a superior safety record. All newly hired employees undergo an initial safety orientation, and for certain types of tasks, we conduct specific hazard training programs. Additional safety training is provided to field personnel as needed, such as first aid, Cardiopulmonary Resuscitation, and Automated External Defibrillator certifications, Occupational Safety and Health Act (“OSHA”) 10- &amp; 30-hour, flagger, and work zone supervisor training. Our project foremen and superintendents conduct weekly on-site safety meetings, and our full-time safety specialists make routine site safety inspections and perform assessments and training if deficiencies are discovered.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and Environmental Regulations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compliance with numerous, complex and frequently changing regulatory requirements of federal, state and local agencies and authorities, including regulations concerning safety, wage and hour requirements, other labor issues, immigration controls, vehicle and equipment operations and other aspects of our business. For example, our construction operations are subject to the requirements of OSHA, and comparable state laws directed toward the protection of employees. In addition, most of our construction contracts are entered into with public authorities, and these contracts frequently impose additional governmental requirements, including requirements regarding labor relations and subcontracting with designated classes of disadvantaged businesses.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our operations are also subject to federal, state, and local laws and regulations relating to the environment, health and safety, including, for example, those relating to discharges into air, water, and land; the generation, handling, and disposal of solid and hazardous waste; the ownership and operation of underground storage tanks; and the cleanup of properties affected by hazardous substances. We are also required to obtain and maintain permits for the development, construction and operation of the asphalt plant we are developing. We also implement our customer’s plans and permit requirements to comply with environmental laws and regulations for our customer’s construction projects. Any failure to comply with environmental, health and safety laws and regulations, and any failure to obtain, maintain and comply with permits required under such laws and regulations, may result in the assessment of administrative, civil and criminal penalties, imposition of remedial obligations, and the issuance of injunctions delaying or prohibiting operations. Additionally, if our customers fail to obtain and maintain permits required for their projects, our business may be negatively impacted.</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our operations are subject to the federal Clean Water Act and analogous state laws, pursuant to which we must apply water or chemicals to reduce dust on road construction projects and to contain contaminants in storm runoff water at construction sites. We also store certain hazardous materials associated with maintenance of our machinery and fleet of specialized equipment in a tank at our shop site in Zebulon, North Carolina, and we maintain fuel tanks at our customers’ project sites and our Zebulon site. In certain circumstances, we may also be required to hire subcontractors to dispose of hazardous wastes encountered on a project, in accordance with a plan approved in advance by the customer. Certain environmental laws impose substantial penalties for non-compliance, and others, such as the federal Comprehensive Environmental Response, Compensation, and Liability Act (“CERCLA”), impose strict, retroactive, joint and several liability on parties responsible for the release of hazardous substances.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other words, CERCLA and comparable state laws impose liability, without regard to fault or the legality of the original conduct, on certain classes of persons that contributed to the release of a “hazardous substance” into the environment. These persons include the current and former owner or operator of the site where the release occurred and companies that disposed of or arranged for the disposal of the hazardous substances found at the site. Under CERCLA, these persons may be subject to joint and several liability for the costs of cleaning up the hazardous substances that have been released into the environment, for damages to natural resources and for the costs of certain health studies.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CERCLA also authorizes the federal Environmental Protection Agency (the “EPA”), and, in some instances, third parties, to act in response to threats to the public health or the environment and to seek to recover from the responsible classes of persons the costs they incur. We may also be exposed to potential liability for personal injury or property damage caused by any release, spill, exposure or other accident involving such pollutants, substances or wastes. Private parties may also have the right to pursue legal actions to enforce compliance, as well as to seek damages for non-compliance, with environmental and safety laws and regulations or for personal injury or property damage.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Solid wastes, which may include hazardous wastes, are subject to the requirements of the Federal Solid Waste Disposal Act, the federal Resource Conservation and Recovery Act, referred to as RCRA, and comparable state statutes. Although we do not generate solid waste, we occasionally dispose of solid waste on behalf of customers. From time to time, the EPA considers the adoption of stricter disposal standards for non-hazardous wastes. Moreover, it is possible that additional wastes will in the future be designated as “hazardous wastes.” Hazardous wastes are subject to more rigorous and costly disposal requirements than are non-hazardous wastes.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focus on our compliance with current environmental, health and safety regulations, we acknowledge the potential for policy shifts that could impact our operations. For example, on January 20, 2025, the current U.S. administration issued a series of executive orders and memoranda signaling a shift in environmental policy in the United States, including the revocation of approximately 80 former administration executive orders related to public health, the environment, climate change and climate-related financial risks. Several agencies have undertaken actions of a deregulatory nature in accordance with the executive orders and memoranda.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leased approximately 27,500 square feet of office space in four locations in North Carolina, including our corporate headquarters in Raleigh, and one location in South Carolina. In addition, we leased approximately 25,000 square feet of shop and storage space in four locations in North Carolina. We believe these facilities are adequate to meet our current and near-term requirements.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In the opinion of management, after consultation with legal counsel, there are currently no threatened or pending legal matters that would reasonably be expected to have a material adverse impact on our consolidated results of operations, financial position or cash flows.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authorized capital stock of Cardinal Group consists of 500,000,000 shares of Class A Common Stock, $0.0001 par value per share, of which 15,292,984 shares were issued and outstanding as of [•], 2026, 500,000,000 shares of Class B Common Stock, $0.0001 par value per share, of which 27,573,875 shares were issued and outstanding as of [•], 2026, and 10,000,000 shares of preferred stock, $0.0001 par value per share, of which no shares are issued and outstanding.</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of the capital stock and A&amp;R Charter and A&amp;R Bylaws of Cardinal Group does not purport to be complete and is qualified in its entirety by reference to the provisions of applicable law and to our A&amp;R Charter and our A&amp;R Bylaws, which are incorporated by reference as exhibits to the registration statement of which this prospectus forms a part.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A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A Common Stock are not entitled to vote with respect to the amendment of certain provisions relating solely to outstanding series of preferred stock where the holders thereof are entitled to vote. Holders of our Class A Common Stock do not have cumulative voting rights.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if 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the liquidation, dissolution, distribution of assets or other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Cardinal Group, holders of our Class A Common Stock are entitled to receive ratably the assets of Cardinal Group available for distribution to the stockholders after payment of liabilities and the liquidation preference of any of its outstanding shares of preferred stock.</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A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shares of Class A Common Stock have no preemptive or conversion rights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subject to further calls or assessment by us. There are no redemption or sinking fund provisions applicable to the Class A Common Stock. All outstanding shares of our Class A Common Stock, including the Class A Common Stock offered in this offering, are fully paid and non-assessable.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Shares of Class B Common Stock are not transferrable except in connection with a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 corresponding number of LLC Units. Shares of Class B Common Stock will be issued in the future only to the extent necessary to maintain a one-to-one ratio between the number of LLC Units held by the Continuing Equity Holders and the number of shares of Class B Common Stock issued to the Continuing Equity Holders. Shares of Class B Common Stock automatically transferred to Cardinal Group upon the redemption or exchange of their LLC Units pursuant to the terms of the Cardinal Operating Agreement will be canceled and may not be reissued. Accordingly, each Continuing Equity Holder will have a number of votes in Cardinal Group equal to the number of LLC Units that it holds.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B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B Common Stock are not entitled to vote with respect to the amendment of certain provisions relating solely to outstanding series of preferred stock where the holders thereof are entitled to vote. Holders of our Class B Common Stock do not have cumulative voting rights.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B Common Stock do not have any right to receive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dividend consists of shares of our Class B Common Stock or of rights, options, warrants or other securities convertible or exercisable into or exchangeable or redeemable for shares of Class B Common Stock paid proportionally with respect to each outstanding share of our Class B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our Class B Common Stock do not have any preemptive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subscription rights, and there are no redemption or sinking fund provisions applicable to the Class B Common Stock.</w:t>
      </w:r>
    </w:p>
    <w:p>
      <w:pPr>
        <w:spacing w:after="0" w:line="9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B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Holders of our Class B Common Stock do not have any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upon a liquidation or winding up of Cardinal Group.</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authorizes our board of directors, subject to any limitations prescribed by law, without further stockholder approval, to establish and to issue from time to time one or more classes or series of preferred stock, covering up to an aggregate of 10,000,000 shares of preferred stock. Each class or series of preferred stock will cover the number of shares and will have the powers, preferences, privileges, rights, qualifications, limitations and restrictions determined by our board of directors, which may include, among others, dividend rights, liquidation preferences, voting rights, conversion rights, preemptive rights and redemption rights. The number of authorized shares of our preferred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 Except as provided by law or in a preferred stock designation, the holders of preferred stock will not be entitled to vote at or receive notice of any meeting of stockholders.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and A&amp;R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and employee benefit plans and, as described under “Certain Relationships and Related Party Transactions — Cardinal Operating Agreement” in the definitive proxy statement for our 2026 Annual Meeting of Stockholders which is incorporated by reference into our Annual Report on Form 10-K which is incorporated by reference into this prospectus, funding of redemptions of LLC Units. The existence of authorized but unissued and unreserved common stock and preferred stock could make more difficult or discourage an attempt to obtain control of us by means of a proxy contest, tender offer, merger or otherwise.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of Directors; Vacancies; Removal of Directors; Size of our Board of Directors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subject to the rights of the holders of any series of preferred stock to elect directors, vacant directorships, including newly created seats, shall be filled solely by the affirmative vote of a majority of the total number of directors then in office, even if less than a quorum, or by a sole remaining director. Our A&amp;R Charter and our A&amp;R Bylaws provide that directors may only be removed with or without cause by the affirmative vote of the holders of capital stock representing at least sixty-six and two-thirds percent (66 2/3%) of the voting power of all of the then outstanding shares of capital stock entitled to vote thereon, voting together as a single class. Our A&amp;R Charter and our A&amp;R Bylaws provide that, subject to the rights of the holders of any series of preferred stock to elect directors,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provides that our stockholders may not take action by consent without a meeting, but may only take action at a meeting of stockholders. Our A&amp;R Charter further provides that special meetings of our stockholders may be called only by a majority of our board of directors, the chairman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our A&amp;R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in the timeframe set forth in our A&amp;R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A&amp;R Charter does not provide for cumulative voting.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of Certificate of Incorporation or Bylaws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on the matter is required to amend a corporation’s certificate of incorporation, unless a corporation’s certificate of incorporation requires a greater percentage. Our A&amp;R Charter will provide that the affirmative vote of holders of at least sixty-six and two-thirds percent (66 2/3%) of the voting power of all of the then outstanding shares of capital stock, voting as a single class, will be required to amend certain provisions of our A&amp;R Charter, including provisions relating to amending our A&amp;R Bylaws, the size of our board of directors, removal of directors, director and officer liability, vacancies on our board of directors, special meetings, stockholder notices, actions by written consent and exclusive forum. Our A&amp;R Charter provides that the board of directors may adopt, amend, alter, or repeal our bylaws. In addition, our A&amp;R Charter provides that the stockholders may not adopt, amend, alter or repeal our bylaws unless such action is approved, in addition to any other vote required by our A&amp;R Charter by the affirmative vote of the holders of at least sixty-six and two-thirds percent (66 2/3%) of the voting power of all of the then outstanding shares of our capital stock entitled to vote thereon, voting together as a single class.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opted out of Section 203 of the DGCL, and the restrictions and limitations set forth therein. However, our A&amp;R Charter contains provisions that are similar to Section 203 of the DGCL. Specifically, our A&amp;R Charter provides that, subject to certain exceptions, we will not be able to engage in a “business combination” with any “interested stockholder” for three years following the time that the person became an interested stockholder, unless the interested stockholder attained such status with the approval of our board of directors, or, upon becoming an interested stockholder, owned at least 85% of the voting power of the outstanding stock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However, in our case, Jeremy Spivey, our Chief Executive Officer, and any of his affiliates and any of their respective direct or indirect transferees of our common stock will not be deemed to be “interested stockholders” for the purposes of our A&amp;R Charter regardless of the percentage of our outstanding voting stock owned by them, and accordingly will not be subject to such restrictions.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(A)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our A&amp;R Charter or our A&amp;R Bylaws (as either may be amended or restated) or as to which the DGCL confers jurisdiction on the Court of Chancery of the State of Delaware, or (iv)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(B) the federal district courts of the U.S.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U.S. federal courts have exclusive jurisdiction. Our A&amp;R Charter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A&amp;R Charter limits the personal liability of our directors and officers to us or our stockholders for monetary damages for breach of their fiduciary duty as directors and officers, except for the following liabilities that cannot be eliminated or limited under the DGCL:</w:t>
      </w:r>
    </w:p>
    <w:p>
      <w:pPr>
        <w:spacing w:after="0" w:line="108" w:lineRule="exact"/>
        <w:rPr>
          <w:sz w:val="20"/>
          <w:szCs w:val="20"/>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unlawful payments of dividends or unlawful stock purchases or redemptions, as provided under Section 174 of the DGCL;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amendment or repeal of these provisions will be prospective only and would not affect any limitation on liability of a director or officer for acts or omissions that occurred prior to any such amendment or repeal.</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A&amp;R Charter and our A&amp;R Bylaws also provide that we will indemnify our directors and officers to the fullest extent permitted by Delaware law. Our A&amp;R Bylaws explicitly authorize us to purchase insurance to protect any of our officers, directors, employees, agents or other entities for any expense, liability or loss, regardless of whether Delaware law would permit indemnification.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A&amp;R Charter and the indemnification agreements will facilitate our ability to continue to attract and retain qualified individuals to serve as directors and officers.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preferred stock, stockholders holding at least sixty-six and two-thirds percent (66 2/3%) of the voting power of our outstanding equity interests then-entitled to vote at an election of directors may remove any director from office with or without cause.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a description of registration rights with respect to our Class A Common Stock, 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Continental Stock Transfer &amp; Trust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Future sales of our Class A Common Stock in the public market, or the availability of such shares for sale in the public market, could adversely affect the market price of our Class A Common Stock prevailing from time to time. Sales of a substantial number of shares of our Class A Common Stock in the public market, or the perception that those sales may occur, could adversely affect the prevailing market price of our Class A Common Stock at such time and our ability to raise equity-related capital at a time and price we deem appropriate.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shares of Class A Common Stock sold in this offering will be freely tradable without restriction or further registration under the Securities Act, except that any shares held by our affiliates, as that term is defined under Rule 144, including our directors, executive officers, and other affiliates, may be sold only in compliance with the limitations described below.</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 2026, there were an aggregate of 15,292,984 shares of Class A Common Stock outstanding. All of such shares of Class A Common Stock are freely tradable without restriction or further registration under the Securities Act, unless the shares are held by any of our “affiliates” as such term is defined in Rule 144. In addition, under the Cardinal Operating Agreement, each Continuing Equity Holder party thereto will, subject to certain limitations, have the right, pursuant to the Redemption Right, to cause Cardinal to acquire or directly cancel all or a portion of its LLC Units, together with all or an equal portion of its shares of our Class B Common Stock, for (i) shares of our Class A Common Stock at a redemption ratio of one share of Class A Common Stock for each bundle of one LLC Unit and one share of our Class B Common Stock redeemed, subject to conversion rate adjustments for stock splits, stock dividends and reclassification and other similar transactions, or (ii) upon mutual agreement between such Continuing Equity Holder and us, an equivalent amount of cash, based on the trailing ten-day VWAP prior to the redemption date. Alternatively, upon the exercise of the Redemption Right, we (instead of Cardinal) will have the right, pursuant to the Call Right, to acquire each tendered bundle of one LLC Unit and one share of our Class B Common Stock directly from such Continuing Equity Holder for (a) one share of Class A Common Stock, subject to conversion rate adjustments for stock splits, stock dividends and reclassification and other similar transactions, or (b) upon mutual agreement between such Continuing Equity Holder and us, an equivalent amount of cash, based on the trailing ten-day VWAP prior to the redemption date.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have agreed not to sell any Class A Common Stock or Class B Common Stock for a period of 90 days from the date of this prospectus, subject to certain exceptions and extensions. See “Underwriting (Conflicts of Interest)” for a description of these lock-up provisions.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been unaffiliated for at least the past three months) who has beneficially owned restricted securities within the meaning of Rule 144 for at least one year would be entitled to sell those shares without regard to the provisions of Rule 144.</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reported through Nasdaq during the four calendar weeks preceding the filing of notice of the sale. Such sales are also subject to certain manner of sale provisions, notice requirements and the availability of current public information about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Class A Common Stock by a non-U.S. holder (as defined below) that acquires such Class A Common Stock pursuant to this offering and holds our Class A Common Stock as a “capital asset” within the meaning of Section 1221 of the Code (generally property held for investment). This summary is based on the provisions of the Code, U.S. Treasury regulations promulgated thereunder, administrative rulings and pronouncements and judicial decisions, all as in effect on the date hereof, and all of which are subject to change and differing interpretations, possibly with retroactive effect. Any such change or differing interpretation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116" w:lineRule="exact"/>
        <w:rPr>
          <w:sz w:val="20"/>
          <w:szCs w:val="20"/>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other arrangements treated as a partnership or pass-through entity for U.S. federal income tax purposes or holders of interests therein;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Class A Common Stock as part of a straddle, appreciated financial position, synthetic security, conversion transaction or other integrated investment or risk reduction transaction;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the interest of which are held by qualified foreign pension funds;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Class A Common Stock that is not for U.S. federal income tax purposes a partnership (or a partner therein) or any of the following:</w:t>
      </w:r>
    </w:p>
    <w:p>
      <w:pPr>
        <w:spacing w:after="0" w:line="94"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U.S. Treasury regulations to be treated as a United States person.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Distributions on Class A 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payment of distributions on our Class A Common Stock will be at the sole discretion of our board of directors. If we do make distributions of cash or other property (other than certain stock distributions) on our Class A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 Gain on disposition of Class A Common Stock.”</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and with respect to effectively connected dividends (as discussed below), any distribution made to a non-U.S. holder on our Class A Common Stock generally will be subject to U.S. federal withholding tax at a rate of 30% of the gross amount of the distribution unless an applicable income tax treaty provides for a lower rate. To claim the benefit of such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 non-U.S. holder generally will not be subject to U.S. federal income or withholding tax on any gain realized upon the sale, exchange or other taxable disposition of our Class A Common Stock unless:</w:t>
      </w:r>
    </w:p>
    <w:p>
      <w:pPr>
        <w:spacing w:after="0" w:line="112" w:lineRule="exact"/>
        <w:rPr>
          <w:sz w:val="20"/>
          <w:szCs w:val="20"/>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United States real property interest because we are or have been a United States real property holding corporation (a “USRPHC”) for U.S. federal income tax purposes at any time within the shorter of the five-year period preceding such disposition and the non-U.S. holder’s holding period for the Class A Common Stock.</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subject to tax on gain realized on the disposition of our Class A Common Stock as a result of our status as a USRPHC in the manner described in the preceding paragraph (except that the branch profits tax would not apply to a non-U.S. holder that is a corporation). If we were to become a USRPHC and our Class A Common Stock were not considered to be regularly traded on an established securities market, such holder (regardless of the percentage of stock owned) would be treated as disposing of a U.S. real property interest and would be subject to U.S. federal income tax in such manner on a taxable disposition of our Class A Common Stock, and a 15% withholding tax would apply to the gross proceeds from such disposition.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connections with the United States.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Non-U.S. holders should consult their tax advisors regarding the application of the information reporting and backup withholding rules to them.</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w:t>
      </w:r>
    </w:p>
    <w:p>
      <w:pPr>
        <w:spacing w:after="0" w:line="1" w:lineRule="exact"/>
        <w:rPr>
          <w:sz w:val="20"/>
          <w:szCs w:val="20"/>
          <w:color w:val="auto"/>
        </w:rPr>
      </w:pPr>
    </w:p>
    <w:p>
      <w:pPr>
        <w:jc w:val="both"/>
        <w:ind w:left="460" w:right="459" w:hanging="6"/>
        <w:spacing w:after="0" w:line="251" w:lineRule="auto"/>
        <w:tabs>
          <w:tab w:leader="none" w:pos="7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w:t>
      </w:r>
    </w:p>
    <w:p>
      <w:pPr>
        <w:spacing w:after="0" w:line="112"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Although FATCA withholding generally could apply to gross proceeds on the disposition of our Class A Common Stock, proposed U.S. Treasury regulations (the “Proposed Regulations”) eliminate FATCA withholding on the gross proceeds from a sale or other disposition of our Class A Common Stock. The preamble to the Proposed Regulations states that taxpayers may rely on the Proposed Regulations pending finalization. However, there can be no assurance that the Proposed Regulations will be finalized in their present form.</w:t>
      </w:r>
    </w:p>
    <w:p>
      <w:pPr>
        <w:spacing w:after="0" w:line="10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Class A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Stifel, Nicolaus &amp; Company, Incorporated and William Blair &amp; Company, L.L.C. are acting as representatives of the underwriters named below. Subject to the terms and conditions set forth in an underwriting agreement, each of the underwriters named below has severally agreed to purchase from us the aggregate number of shares of Class A Common Stock shown opposite their respective names below:</w:t>
      </w:r>
    </w:p>
    <w:p>
      <w:pPr>
        <w:spacing w:after="0" w:line="15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tabs>
          <w:tab w:leader="none" w:pos="768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43180</wp:posOffset>
            </wp:positionV>
            <wp:extent cx="796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34290</wp:posOffset>
            </wp:positionV>
            <wp:extent cx="796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51435</wp:posOffset>
            </wp:positionV>
            <wp:extent cx="796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shares of Class A Common Stock listed above if any are purchased. The underwriters have reserved the right to withdraw, cancel or modify offers to the public and to reject orders in whole or in part.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Class A Common Stock</w:t>
      </w:r>
    </w:p>
    <w:p>
      <w:pPr>
        <w:spacing w:after="0" w:line="162" w:lineRule="exact"/>
        <w:rPr>
          <w:sz w:val="20"/>
          <w:szCs w:val="20"/>
          <w:color w:val="auto"/>
        </w:rPr>
      </w:pPr>
    </w:p>
    <w:p>
      <w:pPr>
        <w:ind w:left="880"/>
        <w:spacing w:after="0"/>
        <w:tabs>
          <w:tab w:leader="none" w:pos="6480" w:val="left"/>
        </w:tabs>
        <w:rPr>
          <w:sz w:val="20"/>
          <w:szCs w:val="20"/>
          <w:color w:val="auto"/>
        </w:rPr>
      </w:pPr>
      <w:r>
        <w:rPr>
          <w:rFonts w:ascii="Times New Roman" w:cs="Times New Roman" w:eastAsia="Times New Roman" w:hAnsi="Times New Roman"/>
          <w:sz w:val="18"/>
          <w:szCs w:val="18"/>
          <w:color w:val="auto"/>
        </w:rPr>
        <w:t>We have granted the underwriters a 30-day option to purchase up to</w:t>
      </w:r>
      <w:r>
        <w:rPr>
          <w:sz w:val="20"/>
          <w:szCs w:val="20"/>
          <w:color w:val="auto"/>
        </w:rPr>
        <w:tab/>
      </w:r>
      <w:r>
        <w:rPr>
          <w:rFonts w:ascii="Times New Roman" w:cs="Times New Roman" w:eastAsia="Times New Roman" w:hAnsi="Times New Roman"/>
          <w:sz w:val="18"/>
          <w:szCs w:val="18"/>
          <w:color w:val="auto"/>
        </w:rPr>
        <w:t>additional shares of Class A</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Common Stock from us at the public offering price, less the underwriting discount and commissions, as set forth on the cover page of this prospectus. If the underwriters exercise their option in whole or in part, each of the underwriters will be separately committed, subject to the conditions described in the underwriting agreement, to purchase the additional shares of our Class A Common Stock in proportion to their respective commitments set forth in the table above.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underwriters will offer the shares directly to the public at the public offering price set forth on the</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cover page of this prospectus, and at this price less a concession not in excess of $ per share of Class A Common Stock to other dealers. After this offering, the offering price, concessions and other selling terms may be changed by the underwriters. Our shares of Class A Common Stock will be offered subject to receipt and acceptance by the underwriters and to the other conditions, including the right to reject orders in whole or in part.</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to be paid to the underwriters and the proceeds, before expenses, payable to us:</w:t>
      </w:r>
    </w:p>
    <w:p>
      <w:pPr>
        <w:spacing w:after="0" w:line="124" w:lineRule="exact"/>
        <w:rPr>
          <w:sz w:val="20"/>
          <w:szCs w:val="20"/>
          <w:color w:val="auto"/>
        </w:rPr>
      </w:pPr>
    </w:p>
    <w:p>
      <w:pPr>
        <w:ind w:left="6540"/>
        <w:spacing w:after="0"/>
        <w:tabs>
          <w:tab w:leader="none" w:pos="776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Full</w:t>
      </w:r>
    </w:p>
    <w:p>
      <w:pPr>
        <w:spacing w:after="0" w:line="28" w:lineRule="exact"/>
        <w:rPr>
          <w:sz w:val="20"/>
          <w:szCs w:val="20"/>
          <w:color w:val="auto"/>
        </w:rPr>
      </w:pPr>
    </w:p>
    <w:p>
      <w:pPr>
        <w:ind w:left="6340"/>
        <w:spacing w:after="0"/>
        <w:tabs>
          <w:tab w:leader="none" w:pos="7620" w:val="left"/>
        </w:tabs>
        <w:rPr>
          <w:sz w:val="20"/>
          <w:szCs w:val="20"/>
          <w:color w:val="auto"/>
        </w:rPr>
      </w:pPr>
      <w:r>
        <w:rPr>
          <w:rFonts w:ascii="Times New Roman" w:cs="Times New Roman" w:eastAsia="Times New Roman" w:hAnsi="Times New Roman"/>
          <w:sz w:val="16"/>
          <w:szCs w:val="16"/>
          <w:b w:val="1"/>
          <w:bCs w:val="1"/>
          <w:color w:val="auto"/>
        </w:rPr>
        <w:t>Exercise</w:t>
      </w:r>
      <w:r>
        <w:rPr>
          <w:sz w:val="20"/>
          <w:szCs w:val="20"/>
          <w:color w:val="auto"/>
        </w:rPr>
        <w:tab/>
      </w:r>
      <w:r>
        <w:rPr>
          <w:rFonts w:ascii="Times New Roman" w:cs="Times New Roman" w:eastAsia="Times New Roman" w:hAnsi="Times New Roman"/>
          <w:sz w:val="16"/>
          <w:szCs w:val="16"/>
          <w:b w:val="1"/>
          <w:bCs w:val="1"/>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43180</wp:posOffset>
            </wp:positionV>
            <wp:extent cx="15773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34290</wp:posOffset>
            </wp:positionV>
            <wp:extent cx="157734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2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our total expenses in connection with this offering, excluding underwriting discounts and</w:t>
      </w:r>
    </w:p>
    <w:p>
      <w:pPr>
        <w:spacing w:after="0" w:line="27" w:lineRule="exact"/>
        <w:rPr>
          <w:sz w:val="20"/>
          <w:szCs w:val="20"/>
          <w:color w:val="auto"/>
        </w:rPr>
      </w:pPr>
    </w:p>
    <w:p>
      <w:pPr>
        <w:ind w:left="460"/>
        <w:spacing w:after="0"/>
        <w:tabs>
          <w:tab w:leader="none" w:pos="3620" w:val="left"/>
        </w:tabs>
        <w:rPr>
          <w:sz w:val="20"/>
          <w:szCs w:val="20"/>
          <w:color w:val="auto"/>
        </w:rPr>
      </w:pPr>
      <w:r>
        <w:rPr>
          <w:rFonts w:ascii="Times New Roman" w:cs="Times New Roman" w:eastAsia="Times New Roman" w:hAnsi="Times New Roman"/>
          <w:sz w:val="18"/>
          <w:szCs w:val="18"/>
          <w:color w:val="auto"/>
        </w:rPr>
        <w:t>commissions, will be approximately $</w:t>
      </w:r>
      <w:r>
        <w:rPr>
          <w:sz w:val="20"/>
          <w:szCs w:val="20"/>
          <w:color w:val="auto"/>
        </w:rPr>
        <w:tab/>
      </w:r>
      <w:r>
        <w:rPr>
          <w:rFonts w:ascii="Times New Roman" w:cs="Times New Roman" w:eastAsia="Times New Roman" w:hAnsi="Times New Roman"/>
          <w:sz w:val="18"/>
          <w:szCs w:val="18"/>
          <w:color w:val="auto"/>
        </w:rPr>
        <w:t>million. We have also agreed to reimburse the underwriters up to</w:t>
      </w:r>
    </w:p>
    <w:p>
      <w:pPr>
        <w:spacing w:after="0" w:line="9" w:lineRule="exact"/>
        <w:rPr>
          <w:sz w:val="20"/>
          <w:szCs w:val="20"/>
          <w:color w:val="auto"/>
        </w:rPr>
      </w:pPr>
    </w:p>
    <w:p>
      <w:pPr>
        <w:ind w:left="940" w:hanging="486"/>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their fees and expenses relating to the offering.</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of Underwriters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indemnify the underwriters against certain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 We have also agreed to indemnify the underwriters for losses if the shares (other than those purchased pursuant to the underwriters’ option to purchase additional shares) are not delivered to the underwriters’ accounts on the initial settlement date.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our directors and our executive officers (each such person, a “lock-up party”) have entered into lock-up agreements with the representatives prior to the commencement of this offering pursuant to which each of these persons or entities, for a period of 90 days after the date of this prospectus, may not offer, pledge, sell, contract to sell, sell any option or contract to purchase, purchase any option or contract to sell, grant any option, right or warrant to purchase, lend or otherwise transfer or dispose of, directly or indirectly, or, in the case of the Company, file with the SEC a registration statement under the Securities Act relating to, any Class A Common Stock or any securities convertible into or exercisable or exchangeable for Class A Common Stock or enter into any swap or other agreement that transfers, in whole or in part, any of the economic consequences of ownership of Class A Common Stock. These restrictions shall also apply to any Class A Common Stock received upon exercise of options granted to or warrants owned by each of the persons or entities described in the immediately preceding sentence.</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the Company, the restrictions described in the paragraph above do not apply, subject in certain cases to various conditions, to:</w:t>
      </w:r>
    </w:p>
    <w:p>
      <w:pPr>
        <w:spacing w:after="0" w:line="94" w:lineRule="exact"/>
        <w:rPr>
          <w:sz w:val="20"/>
          <w:szCs w:val="20"/>
          <w:color w:val="auto"/>
        </w:rPr>
      </w:pPr>
    </w:p>
    <w:p>
      <w:pPr>
        <w:ind w:left="1280" w:hanging="39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in this offering;</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options to acquire shares of Class A Common Stock granted pursuant to the Company’s benefit plans existing described in this prospectus, as such plans may be amended;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exercise of any such options;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one or more registration statements on Form S-8 providing for resales of securities registered thereunder;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S-1 with respect to securities of the Company owned by certain shareholders, officers or directors of the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avoidance of doubt, the filing of any registration statement pursuant to clause (4) or (5) described above will be without prejudice to the transfer limitations applicable to any lock-up party, which shall continue in full force and effect in accordance with the terms of the lock-up agreements.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directors and executive officers, the restrictions described in the paragraph above do not apply, subject in certain cases to various conditions, to transfers:</w:t>
      </w:r>
    </w:p>
    <w:p>
      <w:pPr>
        <w:spacing w:after="0" w:line="81" w:lineRule="exact"/>
        <w:rPr>
          <w:sz w:val="20"/>
          <w:szCs w:val="20"/>
          <w:color w:val="auto"/>
        </w:rPr>
      </w:pPr>
    </w:p>
    <w:p>
      <w:pPr>
        <w:jc w:val="both"/>
        <w:ind w:left="1320" w:right="459" w:hanging="434"/>
        <w:spacing w:after="0" w:line="266" w:lineRule="auto"/>
        <w:tabs>
          <w:tab w:leader="none" w:pos="12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each resulting transferee of shares of Class A Common Stock or securities convertible into or exchangeable or exercisable for any shares of Class A Common Stock executes and delivers to the representatives an agreement satisfactory to the representatives:</w:t>
      </w:r>
    </w:p>
    <w:p>
      <w:pPr>
        <w:spacing w:after="0" w:line="108"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or other entity for the direct or indirect benefit of the lock-up party or the immediate family of the lock-up party; or</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 corporation, partnership, limited liability company, trust or other business entity and (1) transfers to another corporation, partnership, limited liability company, trust or other business entity that is a direct or indirect affiliate (as defined in Rule 405 promulgated under the Securities Act) of the lock-up party or (2) distributes shares of Class A Common Stock or any security convertible into or exchangeable or exercisable for any shares of Class A Common Stock to limited partners, limited liability company members or stockholders of the lock-up party, or to any investment fund or other entity that controls or manages the lock-up party;</w:t>
      </w:r>
    </w:p>
    <w:p>
      <w:pPr>
        <w:spacing w:after="0" w:line="12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transfer by testate succession or intestate succession;</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and maintenance of a bona fide lien, security interest, pledge, hypothecation or other similar encumbrance of Class A Common Stock by the lock-up party to a recognized financial institution in connection with a loan to the lock-up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2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an employee of the Company and transfers to the Company upon death, disability or termination of employment of such employee; or</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clauses (i) through (iii) above, that no filing by the lock-up party or any other person under Section 16(a) of the Exchange Act or other public announcement shall be required or shall be made voluntarily in connection with such transfer or distribution during the 90 day period after the date of this prospectus.</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representatives may release any of the securities subject to these lock-up agreements which, in the case of officers and directors, shall be with notice.</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IPO, we, our directors, executive officers and holders of a substantial majority of all of our capital stock and securities convertible into our capital stock made a similar agreement with respect to the 180-day period ended on June 7,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 Stabilizing Transactions and Penalty Bids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order to facilitate this offering, persons participating in this offering may engage in transactions that stabilize, maintain or otherwise affect the price of the shares during and after this offering. Specifically, the underwriters may engage in the following activities in accordance with the rules of the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Short sales involve the sales by the underwriters of a greater number of shares of Class A Common Stock than they are required to purchase in the offering. Covered short sales are short sales made in an amount not greater than the underwriters’ option to purchase additional shares of Class A Common Stock.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our Class A Common Stock available for purchase in the open market as compared to the price at which they may purchase the shares through their option.</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Naked short sales are any short sales in excess of such option to purchase additional shares of Class A Common Stock. The underwriters must close out any naked short position by purchasing shares of our Class A Common Stock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Stabilizing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make bids for or purchases of shares of our Class A Common Stock for the purpose of pegging, fixing or maintaining the price of our Class A Common Stock, so long as stabilizing bids do not exceed a specified maximum.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Penalty Bids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underwriters purchase shares of our Class A Common Stock in the open market in a stabilizing transaction or syndicate covering transaction, they may reclaim a selling concession from the underwriters and selling group members who sold those shares as part of this offering. Stabilization and syndicate covering transactions may cause the price of our Class A Common Stock to be higher than it would be in the absence of these transactions. The imposition of a penalty bid might also have an effect on the price of the shares if it discourages resales of the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transactions above may occur on The Nasdaq Stock Market or otherwise. Neither we nor the underwriters make any representation or prediction as to the effect that the transactions described above may have on the price of our Class A Common Stock. If such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Discretionary Sales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have informed us that they do not expect to confirm sales of the shares of Class A Common Stock offered by this prospectus to accounts over which they exercise discretionary authority without obtaining the specific approval of the account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or through other online services maintained by one or more of the underwriters participating in this offering, or by their affiliates.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For example, Truist Bank, an affiliate of Truist Securities, Inc., serves as the administrative agent and lender for our October 2025 Credit Facility.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an affiliate of Truist Securities, Inc. is a lender under our October 2025 Credit Facility and will receive 5% or more of the net proceeds of this offering due to the repayment of borrowings under the October 2025 Credit Facility, Truist Securities, Inc., an underwriter in this offering,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a “bona fide public market,” as defined in Rule 5121, exists for our Class A Common Stock. Truist Securities, Inc. will not confirm any sales to any account over which it exercises discretionary authority without the specific written approval of the account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none of our shares have been offered or will be offered pursuant to this offering to the public in that Relevant State prior to the publication of a prospectus in relation to our shares which has been approved by the competent authority in that Relevant State or, where appropriate, approved in another Relevant State and notified to the competent authority in that Relevant State, all in accordance with the Prospectus Regulation, except that our shares may be offered to the public in that Relevant State at any time:</w:t>
      </w:r>
    </w:p>
    <w:p>
      <w:pPr>
        <w:spacing w:after="0" w:line="79" w:lineRule="exact"/>
        <w:rPr>
          <w:sz w:val="20"/>
          <w:szCs w:val="20"/>
          <w:color w:val="auto"/>
        </w:rPr>
      </w:pPr>
    </w:p>
    <w:p>
      <w:pPr>
        <w:ind w:left="4420" w:right="1859" w:hanging="3534"/>
        <w:spacing w:after="0" w:line="485" w:lineRule="auto"/>
        <w:tabs>
          <w:tab w:leader="none" w:pos="13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1320" w:right="479" w:hanging="434"/>
        <w:spacing w:after="0" w:line="266" w:lineRule="auto"/>
        <w:tabs>
          <w:tab w:leader="none" w:pos="1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provided that no such offer of our shares shall require the Company or any of the representatives to publish a prospectus pursuant to Article 3 of the Prospectus Regulation, supplement a prospectus pursuant to Article 23 of the Prospectus Regulation or publish an Annex IX document pursuant to Article 1(4) of the Prospectus Regulation.</w:t>
      </w:r>
    </w:p>
    <w:p>
      <w:pPr>
        <w:spacing w:after="0" w:line="7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shares in any Relevant State means the communication in any form and by any means of sufficient information on the terms of the offer and any of our shares to be offered so as to enable an investor to decide to purchase or subscribe for any of our shares, and the expression “Prospectus Regulation” means Regulation (EU) 2017/1129.</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 of our shares have been offered or will be offered pursuant to this offering to the public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Kingdom except that our shares may be offered to the public in the United Kingdom at any time:</w:t>
      </w:r>
    </w:p>
    <w:p>
      <w:pPr>
        <w:spacing w:after="0" w:line="139" w:lineRule="exact"/>
        <w:rPr>
          <w:sz w:val="20"/>
          <w:szCs w:val="20"/>
          <w:color w:val="auto"/>
        </w:rPr>
      </w:pPr>
    </w:p>
    <w:p>
      <w:pPr>
        <w:jc w:val="both"/>
        <w:ind w:left="1320" w:right="479" w:hanging="434"/>
        <w:spacing w:after="0" w:line="266" w:lineRule="auto"/>
        <w:tabs>
          <w:tab w:leader="none" w:pos="1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to the POATRs);</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to the POATRs;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75" w:lineRule="auto"/>
        <w:tabs>
          <w:tab w:leader="none" w:pos="1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to the POATRs), subject to obtaining the prior consent of the representatives for any such offer; or</w:t>
      </w:r>
    </w:p>
    <w:p>
      <w:pPr>
        <w:spacing w:after="0" w:line="322"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to the POATRs.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our shares in the United Kingdom means the communication to any person which presents sufficient information on: (a) our shares to be offered; and (b) the terms on which they are to be offered, to enable an investor to decide to buy or subscribe for our shares and the expressions “POATRs” means the Public Offers and Admissions to Trading Regulations 2024.</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by this prospectus will be passed upon for us by Willkie Farr &amp; Gallagher LLP, Chicago, Illinois. Certain legal matters in connection with this offering will be passed upon for the underwriters by Latham &amp; Watkins LLP, Chicago, Illinois.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Cardinal Infrastructure Group Inc. as of December 31, 2025 and 2024 and for each of the three years in the period ended December 31, 2025 incorporated by reference into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A.L. Grading Contractors, LLC as of December 31, 2025 and 2024 and for each of the two years in the period ended December 31, 2025 incorporated by reference into this prospectus and elsewhere in the registration statement have been so incorporated by reference in reliance on the report of Warren Averett, LLC, independent public accountants, upon the authority of said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relating to the shares of Class A Common Stock offered by this prospectus. This prospectus, which constitutes a part of the registration statement, does not contain all of the information set forth in the registration statement. For further information regarding us and the shares of Class A Common Stock offered by this prospectus, we refer you to the full registration statement, including its exhibits and schedules, filed under the Securities Act.</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Our registration statement, of which this prospectus constitutes a part, and the exhibits and schedules thereto can be downloaded from the SEC’s website.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allowed to “incorporate by reference” information we file with the SEC, which means that we can disclose important information to you by referring you to those documents. We incorporate by reference the documents listed below:</w:t>
      </w:r>
    </w:p>
    <w:p>
      <w:pPr>
        <w:spacing w:after="0" w:line="108" w:lineRule="exact"/>
        <w:rPr>
          <w:sz w:val="20"/>
          <w:szCs w:val="20"/>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February 19, 2026</w:t>
        </w:r>
        <w:r>
          <w:rPr>
            <w:rFonts w:ascii="Times New Roman" w:cs="Times New Roman" w:eastAsia="Times New Roman" w:hAnsi="Times New Roman"/>
            <w:sz w:val="18"/>
            <w:szCs w:val="18"/>
            <w:color w:val="auto"/>
          </w:rPr>
          <w:t xml:space="preserve"> (as amended </w:t>
        </w:r>
        <w:r>
          <w:rPr>
            <w:rFonts w:ascii="Times New Roman" w:cs="Times New Roman" w:eastAsia="Times New Roman" w:hAnsi="Times New Roman"/>
            <w:sz w:val="18"/>
            <w:szCs w:val="18"/>
            <w:u w:val="single" w:color="auto"/>
            <w:color w:val="0000EE"/>
          </w:rPr>
          <w:t>May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18,</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40">
        <w:r>
          <w:rPr>
            <w:rFonts w:ascii="Times New Roman" w:cs="Times New Roman" w:eastAsia="Times New Roman" w:hAnsi="Times New Roman"/>
            <w:sz w:val="18"/>
            <w:szCs w:val="18"/>
            <w:u w:val="single" w:color="auto"/>
            <w:color w:val="0000EE"/>
          </w:rPr>
          <w:t>June 5, 2026</w:t>
        </w:r>
      </w:hyperlink>
      <w:hyperlink r:id="rId139">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the Registration Statement on </w:t>
      </w:r>
      <w:hyperlink r:id="rId14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December 10, 2025.</w:t>
      </w:r>
    </w:p>
    <w:p>
      <w:pPr>
        <w:spacing w:after="0" w:line="81"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has been delivered, a copy of any and all of these filings.</w:t>
      </w:r>
    </w:p>
    <w:p>
      <w:pPr>
        <w:spacing w:after="0" w:line="94" w:lineRule="exact"/>
        <w:rPr>
          <w:rFonts w:ascii="Times New Roman" w:cs="Times New Roman" w:eastAsia="Times New Roman" w:hAnsi="Times New Roman"/>
          <w:sz w:val="18"/>
          <w:szCs w:val="18"/>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request a copy of these filings by writing to us at: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E. Six Forks Road, #300</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Raleigh, North Carolina 27609</w:t>
      </w:r>
    </w:p>
    <w:p>
      <w:pPr>
        <w:spacing w:after="0" w:line="9" w:lineRule="exact"/>
        <w:rPr>
          <w:rFonts w:ascii="Times New Roman" w:cs="Times New Roman" w:eastAsia="Times New Roman" w:hAnsi="Times New Roman"/>
          <w:sz w:val="18"/>
          <w:szCs w:val="18"/>
          <w:color w:val="auto"/>
        </w:rPr>
      </w:pPr>
    </w:p>
    <w:p>
      <w:pPr>
        <w:ind w:left="2680"/>
        <w:spacing w:after="0"/>
        <w:rPr>
          <w:sz w:val="20"/>
          <w:szCs w:val="20"/>
          <w:color w:val="auto"/>
        </w:rPr>
      </w:pPr>
      <w:r>
        <w:rPr>
          <w:rFonts w:ascii="Times New Roman" w:cs="Times New Roman" w:eastAsia="Times New Roman" w:hAnsi="Times New Roman"/>
          <w:sz w:val="18"/>
          <w:szCs w:val="18"/>
          <w:color w:val="auto"/>
        </w:rPr>
        <w:t>Attn: Emily Lear — Director of Investor Relations</w:t>
      </w:r>
    </w:p>
    <w:p>
      <w:pPr>
        <w:spacing w:after="0" w:line="9" w:lineRule="exact"/>
        <w:rPr>
          <w:rFonts w:ascii="Times New Roman" w:cs="Times New Roman" w:eastAsia="Times New Roman" w:hAnsi="Times New Roman"/>
          <w:sz w:val="18"/>
          <w:szCs w:val="18"/>
          <w:color w:val="auto"/>
        </w:rPr>
      </w:pPr>
    </w:p>
    <w:p>
      <w:pPr>
        <w:ind w:left="2640"/>
        <w:spacing w:after="0"/>
        <w:rPr>
          <w:sz w:val="20"/>
          <w:szCs w:val="20"/>
          <w:color w:val="auto"/>
        </w:rPr>
      </w:pPr>
      <w:r>
        <w:rPr>
          <w:rFonts w:ascii="Times New Roman" w:cs="Times New Roman" w:eastAsia="Times New Roman" w:hAnsi="Times New Roman"/>
          <w:sz w:val="18"/>
          <w:szCs w:val="18"/>
          <w:color w:val="auto"/>
        </w:rPr>
        <w:t>investor.relations@cardinalinfrastructuregroup.com</w:t>
      </w:r>
    </w:p>
    <w:p>
      <w:pPr>
        <w:spacing w:after="0" w:line="126"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1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510540</wp:posOffset>
            </wp:positionV>
            <wp:extent cx="1268730" cy="737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Cardinal Infrastructure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Stifel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William Blair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577215</wp:posOffset>
            </wp:positionV>
            <wp:extent cx="514350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619760</wp:posOffset>
            </wp:positionV>
            <wp:extent cx="514350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894080</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Set forth below are the expenses (other than underwriting discounts) expected to be incurred in connection with the issuance and distribution of the securities registered hereby. With the exception of the SEC registration fee, the FINRA filing fee and the Nasdaq listing fee, the amounts set forth below are estimates.</w:t>
      </w:r>
    </w:p>
    <w:p>
      <w:pPr>
        <w:spacing w:after="0" w:line="19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7" w:lineRule="exact"/>
        <w:rPr>
          <w:sz w:val="20"/>
          <w:szCs w:val="20"/>
          <w:color w:val="auto"/>
        </w:rPr>
      </w:pPr>
    </w:p>
    <w:p>
      <w:pPr>
        <w:ind w:left="460"/>
        <w:spacing w:after="0"/>
        <w:tabs>
          <w:tab w:leader="none" w:pos="7300" w:val="left"/>
        </w:tabs>
        <w:rPr>
          <w:sz w:val="20"/>
          <w:szCs w:val="20"/>
          <w:color w:val="auto"/>
        </w:rPr>
      </w:pPr>
      <w:r>
        <w:rPr>
          <w:rFonts w:ascii="Times New Roman" w:cs="Times New Roman" w:eastAsia="Times New Roman" w:hAnsi="Times New Roman"/>
          <w:sz w:val="18"/>
          <w:szCs w:val="18"/>
          <w:color w:val="auto"/>
        </w:rPr>
        <w:t>SEC registration fee</w:t>
      </w:r>
      <w:r>
        <w:rPr>
          <w:sz w:val="20"/>
          <w:szCs w:val="20"/>
          <w:color w:val="auto"/>
        </w:rPr>
        <w:tab/>
      </w:r>
      <w:r>
        <w:rPr>
          <w:rFonts w:ascii="Times New Roman" w:cs="Times New Roman" w:eastAsia="Times New Roman" w:hAnsi="Times New Roman"/>
          <w:sz w:val="16"/>
          <w:szCs w:val="16"/>
          <w:color w:val="auto"/>
        </w:rPr>
        <w: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Fees and expenses of legal counsel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7300" w:val="left"/>
        </w:tabs>
        <w:rPr>
          <w:sz w:val="20"/>
          <w:szCs w:val="20"/>
          <w:color w:val="auto"/>
        </w:rPr>
      </w:pPr>
      <w:r>
        <w:rPr>
          <w:rFonts w:ascii="Times New Roman" w:cs="Times New Roman" w:eastAsia="Times New Roman" w:hAnsi="Times New Roman"/>
          <w:sz w:val="18"/>
          <w:szCs w:val="18"/>
          <w:color w:val="auto"/>
        </w:rPr>
        <w:t>Total expenses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51435</wp:posOffset>
            </wp:positionV>
            <wp:extent cx="7886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permits a corporation, in its certificate of incorporation, to eliminate or limit, subject to certain statutory limitations, the personal liability of directors or officers to the corporation or its stockholders for monetary damages for breach of their fiduciary duty as director or officers, except for the following liabilities that cannot be eliminated or limited under the DGCL:</w:t>
      </w:r>
    </w:p>
    <w:p>
      <w:pPr>
        <w:spacing w:after="0" w:line="116"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company or its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unlawful payments of dividends or unlawful stock purchases or redemptions, as provided under Section 174 of the DGCL;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accordance with Section 102(b)(7) of the DGCL, our Amended and Restated Certificate of Incorporation (our “A&amp;R Charter”) provides that no director or officer shall be personally liable to us or any of our stockholders for monetary damages resulting from breach of their fiduciary duty as directors or officers, as applicable, except to the extent such exemption from liability or limitation thereof is not permitted under the DGCL as it now exists or may hereafter be amended. The effect of this provision of our A&amp;R Charter will be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will not limit or eliminate our rights or the rights of any stockholder to seek non-monetary relief, such as an injunction or rescission, in the event of a breach of a director’s or officer’s duty of care. Any amendment, repeal or modification of provisions of our A&amp;R Charter that purports to limit the liability of a director or officer will be prospective only and will not affect any limitation on liability of a director or officer, as applicable, for acts or omissions occurring prior to the date of such amendment, repeal or modification.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containing provisions that are in some respects broader than the specific indemnification provisions contained in the DGCL. The indemnification agreements require us, among other things, to indemnify our directors and officers against certain liabilities that may arise by reason of their status or service as directors or officers and to advance their expenses incurred as a result of any proceeding against them as to which they could be indemnified. We intend to enter into indemnification agreements with our future directors and officers.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intend to maintain liability insurance policies that indemnify our directors and officers against various liabilities, including certain liabilities arising under the Securities Act or the Exchange Act that may be incurred by them in their capacity as such.</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A&amp;R Charter or the indemnification agreements may have or hereafter acquire under law, our A&amp;R Charter, our amended and restated bylaws (our “A&amp;R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Bylaws include provisions relating to advancement of expenses and indemnification rights consistent with those set forth in our A&amp;R Charter and the indemnification agreements. In addition, our A&amp;R Bylaws provide for the right of an indemnitee to bring a suit in the event a claim for indemnification or advancement of expenses is not paid in full by us within a specified period of time. Our A&amp;R Bylaws also permit us to purchase and maintain insurance, at our expense, to protect us and any person who is or was serving as a director, officer, employee or agent of our corporation or is or was serving at our request as a director, officer, employee or agent of another corporation, partnership, joint venture, trust, other enterprise or non-profit entity, including with respect to an employee benefit plan, against any expense, liability or loss asserted against them and incurred by them in such capacity, or arising out of their status as such, whether or not we would have the power to indemnify such person against such expense, liability or loss under the DGCL.</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repeal or modification of the provisions of our A&amp;R Bylaws affecting indemnification rights will not adversely affect any right or protection thereunder in respect of any proceeding (regardless of when such proceeding is first threatened, commenced or completed) arising out of, or related to, any act or omission occurring prior to the time of such repeal or modification.</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underwriting agreement, the underwriters are obligated, under certain circumstances, to indemnify directors and officers of the registrant against certain liabilities, including liabilities under the Securities Act. Reference is made to the form of underwriting agreement filed as Exhibit 1.1 to this registration statement.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issued by us since January 1, 2022. Also included is the consideration received by us for such shares and information relating to the section of the Securities Act, or rule of the SEC, under which exemption from registration was claimed. None of these transactions involved any underwriters, underwriting discounts or commissions or any public offering.</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Cardinal Group’s Formation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July 25, 2025, the Company issued 20,000 shares (on a pre-split basis) of the Company’s common stock, par value $0.01 per share, to certain individual investors and their family members, for $0.01 per share.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11, 2025, in connection with the Company’s initial public offering and related reorganization transactions, the Company issued 23,387,813 shares of its Class B Common Stock, $0.0001 par value per share (the “Class B Common Stock”) to the equity holders of Cardinal Civil Contracting Holdings LLC for nominal consideration.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 Grading Contractors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February 18, 2026, the Company issued 4,186,062 shares of Class B Common Stock in connection with the acquisition of all of the equity interests in A.L. Grading Contractors, LLC (“ALGC”). The issuance of such shares of common stock was not registered under the Securities Act, because the shares were offered and sold in a transaction by the issuer not involving any public offering exempt from registration under Section 4(a)</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ectPr>
          <w:pgSz w:w="11900" w:h="16838" w:orient="portrait"/>
          <w:cols w:equalWidth="0" w:num="1">
            <w:col w:w="9019"/>
          </w:cols>
          <w:pgMar w:left="1440" w:top="270" w:right="1440" w:bottom="1440" w:gutter="0" w:footer="0" w:header="0"/>
        </w:sectPr>
      </w:pP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373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69" w:lineRule="exact"/>
        <w:rPr>
          <w:sz w:val="20"/>
          <w:szCs w:val="20"/>
          <w:color w:val="auto"/>
        </w:rPr>
      </w:pPr>
    </w:p>
    <w:p>
      <w:pPr>
        <w:sectPr>
          <w:pgSz w:w="11900" w:h="16838" w:orient="portrait"/>
          <w:cols w:equalWidth="0" w:num="2">
            <w:col w:w="3760" w:space="720"/>
            <w:col w:w="4539"/>
          </w:cols>
          <w:pgMar w:left="1440" w:top="270" w:right="1440" w:bottom="1440" w:gutter="0" w:footer="0" w:header="0"/>
          <w:type w:val="continuous"/>
        </w:sectPr>
      </w:pPr>
    </w:p>
    <w:p>
      <w:pPr>
        <w:ind w:left="460"/>
        <w:spacing w:after="0"/>
        <w:tabs>
          <w:tab w:leader="none" w:pos="12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1220" w:right="479" w:hanging="755"/>
        <w:spacing w:after="0" w:line="26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58">
        <w:r>
          <w:rPr>
            <w:rFonts w:ascii="Times New Roman" w:cs="Times New Roman" w:eastAsia="Times New Roman" w:hAnsi="Times New Roman"/>
            <w:sz w:val="18"/>
            <w:szCs w:val="18"/>
            <w:u w:val="single" w:color="auto"/>
            <w:color w:val="0000EE"/>
          </w:rPr>
          <w:t>Asset Purchase Agreement, dated October 1, 2025, by and among Aviator Paving Company</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Charlotte, LLC, a North Carolina limited liability company and James C. Smith, a resident of</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Charlotte, North Carolina and Red Clay Industries, Inc., a North Carolina corporation (Incorporated</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by reference to Exhibit 2.1 to the Registration Statement on Form S-1 filed on October 14, 2025)</w:t>
        </w:r>
      </w:hyperlink>
    </w:p>
    <w:p>
      <w:pPr>
        <w:spacing w:after="0" w:line="4" w:lineRule="exact"/>
        <w:rPr>
          <w:rFonts w:ascii="Times New Roman" w:cs="Times New Roman" w:eastAsia="Times New Roman" w:hAnsi="Times New Roman"/>
          <w:sz w:val="18"/>
          <w:szCs w:val="18"/>
          <w:u w:val="single" w:color="auto"/>
          <w:color w:val="0000EE"/>
        </w:rPr>
      </w:pPr>
    </w:p>
    <w:p>
      <w:pPr>
        <w:jc w:val="both"/>
        <w:ind w:left="1220" w:right="459" w:hanging="755"/>
        <w:spacing w:after="0" w:line="258"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59">
        <w:r>
          <w:rPr>
            <w:rFonts w:ascii="Times New Roman" w:cs="Times New Roman" w:eastAsia="Times New Roman" w:hAnsi="Times New Roman"/>
            <w:sz w:val="18"/>
            <w:szCs w:val="18"/>
            <w:u w:val="single" w:color="auto"/>
            <w:color w:val="0000EE"/>
          </w:rPr>
          <w:t>Membership Interests Purchase and Contribution Agreement, dated February 18, 2026, by and among</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Diamond Interests Group, LLC, A.L. Grading Contractors, LLC, Anthony L. Wood, Jr., Benjamin</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A. Wood, Cardinal Civil Contracting Holdings LLC, and Cardinal Infrastructure Group Inc.</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(Incorporated by reference to Exhibit 2.1 to the Current Report on Form 8-K filed on February 18,</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2026)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-694055</wp:posOffset>
            </wp:positionV>
            <wp:extent cx="5143500" cy="711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143500" cy="711200"/>
                    </a:xfrm>
                    <a:prstGeom prst="rect">
                      <a:avLst/>
                    </a:prstGeom>
                    <a:noFill/>
                  </pic:spPr>
                </pic:pic>
              </a:graphicData>
            </a:graphic>
          </wp:anchor>
        </w:drawing>
      </w:r>
    </w:p>
    <w:p>
      <w:pPr>
        <w:jc w:val="both"/>
        <w:ind w:left="1220" w:right="479" w:hanging="755"/>
        <w:spacing w:after="0" w:line="266"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61">
        <w:r>
          <w:rPr>
            <w:rFonts w:ascii="Times New Roman" w:cs="Times New Roman" w:eastAsia="Times New Roman" w:hAnsi="Times New Roman"/>
            <w:sz w:val="18"/>
            <w:szCs w:val="18"/>
            <w:u w:val="single" w:color="auto"/>
            <w:color w:val="0000EE"/>
          </w:rPr>
          <w:t>Amended and Restated Certificate of Incorporation of Cardinal Infrastructure Group Inc.</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(incorporated by reference to Exhibit 4.1 to the Registration Statement on Form S-8 filed with the</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Securities and Exchange Commission on December 10, 2025)</w:t>
        </w:r>
      </w:hyperlink>
    </w:p>
    <w:p>
      <w:pPr>
        <w:jc w:val="both"/>
        <w:ind w:left="1220" w:right="459" w:hanging="755"/>
        <w:spacing w:after="0" w:line="273"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62">
        <w:r>
          <w:rPr>
            <w:rFonts w:ascii="Times New Roman" w:cs="Times New Roman" w:eastAsia="Times New Roman" w:hAnsi="Times New Roman"/>
            <w:sz w:val="18"/>
            <w:szCs w:val="18"/>
            <w:u w:val="single" w:color="auto"/>
            <w:color w:val="0000EE"/>
          </w:rPr>
          <w:t>Amended and Restated Bylaws of Cardinal Infrastructure Group Inc. (incorporated by reference to</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Exhibit 4.2 to the Registration Statement on Form S-8 filed on December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220" w:right="479" w:hanging="755"/>
        <w:spacing w:after="0" w:line="266"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64">
        <w:r>
          <w:rPr>
            <w:rFonts w:ascii="Times New Roman" w:cs="Times New Roman" w:eastAsia="Times New Roman" w:hAnsi="Times New Roman"/>
            <w:sz w:val="18"/>
            <w:szCs w:val="18"/>
            <w:u w:val="single" w:color="auto"/>
            <w:color w:val="0000EE"/>
          </w:rPr>
          <w:t>Specimen Stock Certificate evidencing the shares of Class A Common Stock (incorporated by</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reference to Exhibit 4.1 to Amendment No. 1 to the Registration Statement on Form S-1 filed on</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November 20, 2025)</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gridSpan w:val="10"/>
          </w:tcPr>
          <w:p>
            <w:pPr>
              <w:ind w:left="12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6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4"/>
                <w:szCs w:val="14"/>
                <w:color w:val="auto"/>
              </w:rPr>
            </w:pPr>
          </w:p>
        </w:tc>
        <w:tc>
          <w:tcPr>
            <w:tcW w:w="7360" w:type="dxa"/>
            <w:vAlign w:val="bottom"/>
            <w:tcBorders>
              <w:bottom w:val="single" w:sz="8" w:color="0000EE"/>
            </w:tcBorders>
            <w:gridSpan w:val="14"/>
            <w:shd w:val="clear" w:color="auto" w:fill="CCEEFF"/>
          </w:tcPr>
          <w:p>
            <w:pPr>
              <w:ind w:left="20"/>
              <w:spacing w:after="0" w:line="169"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Registration Rights Agreement, dated as of December 9, 2025, by and among Cardinal Infrastructure</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Group Inc. and the Initial Holders (as defined therein) (incorporated by reference to Exhibit 10.3 to</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Current Report on Form 8-K filed December 12, 2025)</w:t>
              </w:r>
            </w:hyperlink>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73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Form of Opinion of Willkie Farr &amp; Gallagher LLP as to the legality of the securities being registered.</w:t>
            </w:r>
          </w:p>
        </w:tc>
      </w:tr>
      <w:tr>
        <w:trPr>
          <w:trHeight w:val="49"/>
        </w:trPr>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Tax Receivable Agreement, dated as of December 9, 2025, by and among Cardinal Infrastructure</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Group Inc., Cardinal Civil Contracting Holdings LLC and the TRA Parties (as defined therein)</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(Incorporated by reference to Exhibit 10.2 to the Current Report on Form 8-K filed on February 18,</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67">
              <w:r>
                <w:rPr>
                  <w:rFonts w:ascii="Times New Roman" w:cs="Times New Roman" w:eastAsia="Times New Roman" w:hAnsi="Times New Roman"/>
                  <w:sz w:val="18"/>
                  <w:szCs w:val="18"/>
                  <w:color w:val="0000EE"/>
                  <w:w w:val="90"/>
                </w:rPr>
                <w:t>2026)</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Credit Agreement, dated as of October 1, 2025, by and among Cardinal Civil Contracting, LLC,</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Cardinal Civil Contracting Holdings LLC, the subsidiary guarantors party thereto and Truist Bank, as</w:t>
              </w:r>
            </w:hyperlink>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administrative agent and lender and the other lenders party thereto (incorporated by reference 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Exhibit 10.2 to the Registration Statement on Form S-1 filed on October 14,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Second Amended and Restated Limited Liability Company Agreement of Cardinal Civil Contracting</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Holdings LLC, dated as of December 9, 2025 (Incorporated by reference to Exhibit 10.1 to the</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Current Report on Form 8-K filed on February 18, 2026)</w:t>
              </w:r>
            </w:hyperlink>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of Indemnification Agreement (incorporated by reference to Exhibit 10.4 to Amendment No. 1</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to the Registration Statement on Form S-1 filed on November 20,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7360" w:type="dxa"/>
            <w:vAlign w:val="bottom"/>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Cardinal Infrastructure Group Inc. 2025 Incentive Plan (incorporated by reference to Exhibit 10.5 to</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3"/>
            <w:shd w:val="clear" w:color="auto" w:fill="CCEEFF"/>
          </w:tcPr>
          <w:p>
            <w:pPr>
              <w:ind w:left="20"/>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Amendment No. 1 to the Registration Statement on Form S-1 filed on November 20,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Restricted Stock Unit Grant Notice and Agreement under the Cardinal Infrastructure Group</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Inc. 2025 Incentive Plan (incorporated by reference to Exhibit 10.6 to Amendment No. 1 to the</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tcBorders>
              <w:top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Registration Statement on Form S-1 filed on November 20, 2025)</w:t>
              </w:r>
            </w:hyperlink>
          </w:p>
        </w:tc>
        <w:tc>
          <w:tcPr>
            <w:tcW w:w="20" w:type="dxa"/>
            <w:vAlign w:val="bottom"/>
          </w:tcPr>
          <w:p>
            <w:pPr>
              <w:spacing w:after="0"/>
              <w:rPr>
                <w:sz w:val="17"/>
                <w:szCs w:val="17"/>
                <w:color w:val="auto"/>
              </w:rPr>
            </w:pPr>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liability company, and Jeremy Spivey, effective as of January 1, 2025 (incorporated by reference to</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Exhibit 10.7 to Amendment No. 1 to the Registration Statement on Form S-1 filed on November 20,</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73">
              <w:r>
                <w:rPr>
                  <w:rFonts w:ascii="Times New Roman" w:cs="Times New Roman" w:eastAsia="Times New Roman" w:hAnsi="Times New Roman"/>
                  <w:sz w:val="18"/>
                  <w:szCs w:val="18"/>
                  <w:color w:val="0000EE"/>
                  <w:w w:val="90"/>
                </w:rPr>
                <w:t>2025)</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liability company, and Erik West, effective as of January 1, 2025 (incorporated by reference 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Exhibit 10.8 to Amendment No. 1 to the Registration Statement on Form S-1 filed on November 20,</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174">
              <w:r>
                <w:rPr>
                  <w:rFonts w:ascii="Times New Roman" w:cs="Times New Roman" w:eastAsia="Times New Roman" w:hAnsi="Times New Roman"/>
                  <w:sz w:val="18"/>
                  <w:szCs w:val="18"/>
                  <w:color w:val="0000EE"/>
                  <w:w w:val="90"/>
                </w:rPr>
                <w:t>2025)</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liability company, and Mike Rowe, effective as of January 1, 2025 (incorporated by reference to</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Exhibit 10.9 to Amendment No. 1 to the Registration Statement on Form S-1 filed on November 20,</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20"/>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2025).</w:t>
              </w:r>
            </w:hyperlink>
          </w:p>
        </w:tc>
        <w:tc>
          <w:tcPr>
            <w:tcW w:w="4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Cardinal Infrastructure Group Inc. Non-Employee Director Compensation Program (incorporated by</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to Exhibit 10.10 to Amendment No. 1 to the Registration Statement on Form S-1 filed on</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November 20,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Tax Benefit Agreement, dated February 18, 2026, among Cardinal Infrastructure Group Inc., Cardinal</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Civil Contracting Holdings, LLC and Diamond Interests Group, LLC (Incorporated by reference to</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3"/>
            <w:shd w:val="clear" w:color="auto" w:fill="CCEEFF"/>
          </w:tcPr>
          <w:p>
            <w:pPr>
              <w:ind w:left="20"/>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Exhibit 10.4 to the Current Report on Form 8-K filed on February 18, 2026)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First Amendment to Credit Agreement, dated as of February 18, 2026, by and among Cardinal Civil</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Contracting, LLC, Cardinal Civil Contracting Holdings LLC, the subsidiary guarantors party thereto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and Truist Bank, as administrative agent and lender and the other lenders party thereto (Incorporated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by reference to Exhibit 10.5 to the Current Report on Form 8-K filed on February 18, 2026)</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7360" w:type="dxa"/>
            <w:vAlign w:val="bottom"/>
            <w:tcBorders>
              <w:bottom w:val="single" w:sz="8" w:color="0000EE"/>
            </w:tcBorders>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Employment agreement, dated February 18, 2026, between A.L. Grading Contractors, Inc. and</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Anthony L. Wood, Jr. (Incorporated by reference to Exhibit 10.6 to the Current Report on Form 8-K</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3"/>
            <w:shd w:val="clear" w:color="auto" w:fill="CCEEFF"/>
          </w:tcPr>
          <w:p>
            <w:pPr>
              <w:ind w:left="20"/>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filed on February 18, 2026)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360" w:type="dxa"/>
            <w:vAlign w:val="bottom"/>
            <w:tcBorders>
              <w:bottom w:val="single" w:sz="8" w:color="0000EE"/>
            </w:tcBorders>
            <w:gridSpan w:val="14"/>
          </w:tcPr>
          <w:p>
            <w:pPr>
              <w:ind w:left="20"/>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Employment agreement, dated February 18, 2026, between Cardinal Infrastructure Group Inc. and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Benjamin A. Wood (Incorporated by reference to Exhibit 10.7 to the Current Report on Form 8-K</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filed on February 18, 2026)</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5"/>
                <w:szCs w:val="15"/>
                <w:color w:val="auto"/>
              </w:rPr>
            </w:pPr>
          </w:p>
        </w:tc>
        <w:tc>
          <w:tcPr>
            <w:tcW w:w="7360" w:type="dxa"/>
            <w:vAlign w:val="bottom"/>
            <w:gridSpan w:val="14"/>
            <w:shd w:val="clear" w:color="auto" w:fill="CCEEFF"/>
          </w:tcPr>
          <w:p>
            <w:pPr>
              <w:ind w:left="20"/>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Lease agreement, dated as of February 18, 2026, between 105 PIB Group LLC and A.L. Grading</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Contractors,  LLC  relating  to  105  Peachtree  Industrial  Boulevard,  Suwanee,  Georgia  30024</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(Incorporated by reference to Exhibit 10.8 to the Current Report on Form 8-K filed on February 18,</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81">
              <w:r>
                <w:rPr>
                  <w:rFonts w:ascii="Times New Roman" w:cs="Times New Roman" w:eastAsia="Times New Roman" w:hAnsi="Times New Roman"/>
                  <w:sz w:val="18"/>
                  <w:szCs w:val="18"/>
                  <w:color w:val="0000EE"/>
                  <w:w w:val="90"/>
                </w:rPr>
                <w:t>2026)</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7360" w:type="dxa"/>
            <w:vAlign w:val="bottom"/>
            <w:gridSpan w:val="14"/>
          </w:tcPr>
          <w:p>
            <w:pPr>
              <w:ind w:left="20"/>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Lease agreement, dated as of February 18, 2026, between 105 PIB Group LLC and A.L. Grading</w:t>
              </w:r>
            </w:hyperlink>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Contractors,  LLC  relating  to  110  Peachtree  Industrial  Boulevard,  Suwanee,  Georgia  30024</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(Incorporated by reference to Exhibit 10.9 to the Current Report on Form 8-K filed on February 18,</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182">
              <w:r>
                <w:rPr>
                  <w:rFonts w:ascii="Times New Roman" w:cs="Times New Roman" w:eastAsia="Times New Roman" w:hAnsi="Times New Roman"/>
                  <w:sz w:val="18"/>
                  <w:szCs w:val="18"/>
                  <w:color w:val="0000EE"/>
                  <w:w w:val="90"/>
                </w:rPr>
                <w:t>2026)</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360" w:type="dxa"/>
            <w:vAlign w:val="bottom"/>
          </w:tcPr>
          <w:p>
            <w:pPr>
              <w:spacing w:after="0"/>
              <w:rPr>
                <w:sz w:val="17"/>
                <w:szCs w:val="17"/>
                <w:color w:val="auto"/>
              </w:rPr>
            </w:pPr>
          </w:p>
        </w:tc>
      </w:tr>
      <w:tr>
        <w:trPr>
          <w:trHeight w:val="212"/>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360" w:type="dxa"/>
            <w:vAlign w:val="bottom"/>
          </w:tcPr>
          <w:p>
            <w:pPr>
              <w:ind w:left="32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r>
      <w:tr>
        <w:trPr>
          <w:trHeight w:val="243"/>
        </w:trPr>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 of Subsidiaries of Cardinal Infrastructure Group Inc.</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Grant Thornton LLP</w:t>
            </w:r>
          </w:p>
        </w:tc>
      </w:tr>
      <w:tr>
        <w:trPr>
          <w:trHeight w:val="49"/>
        </w:trPr>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360" w:type="dxa"/>
            <w:vAlign w:val="bottom"/>
          </w:tcPr>
          <w:p>
            <w:pPr>
              <w:spacing w:after="0"/>
              <w:rPr>
                <w:sz w:val="4"/>
                <w:szCs w:val="4"/>
                <w:color w:val="auto"/>
              </w:rPr>
            </w:pPr>
          </w:p>
        </w:tc>
      </w:tr>
      <w:tr>
        <w:trPr>
          <w:trHeight w:val="264"/>
        </w:trPr>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Consent of Warren Averett, LLC</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Willkie Farr &amp; Gallagher LLP (included in Exhibit 5.1)</w:t>
            </w:r>
          </w:p>
        </w:tc>
      </w:tr>
      <w:tr>
        <w:trPr>
          <w:trHeight w:val="49"/>
        </w:trPr>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360" w:type="dxa"/>
            <w:vAlign w:val="bottom"/>
          </w:tcPr>
          <w:p>
            <w:pPr>
              <w:spacing w:after="0"/>
              <w:rPr>
                <w:sz w:val="4"/>
                <w:szCs w:val="4"/>
                <w:color w:val="auto"/>
              </w:rPr>
            </w:pPr>
          </w:p>
        </w:tc>
      </w:tr>
      <w:tr>
        <w:trPr>
          <w:trHeight w:val="263"/>
        </w:trPr>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6" w:lineRule="exact"/>
        <w:rPr>
          <w:sz w:val="20"/>
          <w:szCs w:val="20"/>
          <w:color w:val="auto"/>
        </w:rPr>
      </w:pPr>
    </w:p>
    <w:p>
      <w:pPr>
        <w:ind w:left="860" w:hanging="406"/>
        <w:spacing w:after="0"/>
        <w:tabs>
          <w:tab w:leader="none" w:pos="8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19" w:lineRule="exact"/>
        <w:rPr>
          <w:sz w:val="20"/>
          <w:szCs w:val="20"/>
          <w:color w:val="auto"/>
        </w:rPr>
      </w:pPr>
    </w:p>
    <w:p>
      <w:pPr>
        <w:ind w:left="880" w:right="459" w:hanging="426"/>
        <w:spacing w:after="0" w:line="264" w:lineRule="auto"/>
        <w:tabs>
          <w:tab w:leader="none" w:pos="84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601(b)(5) of Regulation S-K. The Registrant undertakes to furnish supplemental copies of any of the omitted schedules upon request by the SEC.</w:t>
      </w:r>
    </w:p>
    <w:p>
      <w:pPr>
        <w:ind w:left="860" w:hanging="406"/>
        <w:spacing w:after="0"/>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pursuant to Item 601(a)(6) of Regulation S-K.</w:t>
      </w:r>
    </w:p>
    <w:p>
      <w:pPr>
        <w:spacing w:after="0" w:line="141" w:lineRule="exact"/>
        <w:rPr>
          <w:rFonts w:ascii="Times New Roman" w:cs="Times New Roman" w:eastAsia="Times New Roman" w:hAnsi="Times New Roman"/>
          <w:sz w:val="16"/>
          <w:szCs w:val="16"/>
          <w:color w:val="auto"/>
        </w:rPr>
      </w:pPr>
    </w:p>
    <w:p>
      <w:pPr>
        <w:ind w:left="1140" w:hanging="254"/>
        <w:spacing w:after="0"/>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jc w:val="both"/>
        <w:ind w:left="1320" w:right="479" w:hanging="434"/>
        <w:spacing w:after="0" w:line="258" w:lineRule="auto"/>
        <w:tabs>
          <w:tab w:leader="none" w:pos="12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Raleigh, North</w:t>
      </w:r>
    </w:p>
    <w:tbl>
      <w:tblPr>
        <w:tblLayout w:type="fixed"/>
        <w:tblInd w:w="4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Carolina, State of North Carolina, on June</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2026.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CARDINAL INFRASTRUCTURE GROUP INC.</w:t>
            </w:r>
          </w:p>
        </w:tc>
        <w:tc>
          <w:tcPr>
            <w:tcW w:w="0" w:type="dxa"/>
            <w:vAlign w:val="bottom"/>
          </w:tcPr>
          <w:p>
            <w:pPr>
              <w:spacing w:after="0"/>
              <w:rPr>
                <w:sz w:val="1"/>
                <w:szCs w:val="1"/>
                <w:color w:val="auto"/>
              </w:rPr>
            </w:pPr>
          </w:p>
        </w:tc>
      </w:tr>
      <w:tr>
        <w:trPr>
          <w:trHeight w:val="392"/>
        </w:trPr>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Jeremy Spivey</w:t>
            </w:r>
          </w:p>
        </w:tc>
        <w:tc>
          <w:tcPr>
            <w:tcW w:w="0" w:type="dxa"/>
            <w:vAlign w:val="bottom"/>
          </w:tcPr>
          <w:p>
            <w:pPr>
              <w:spacing w:after="0"/>
              <w:rPr>
                <w:sz w:val="1"/>
                <w:szCs w:val="1"/>
                <w:color w:val="auto"/>
              </w:rPr>
            </w:pPr>
          </w:p>
        </w:tc>
      </w:tr>
      <w:tr>
        <w:trPr>
          <w:trHeight w:val="405"/>
        </w:trPr>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0" w:type="dxa"/>
            <w:vAlign w:val="bottom"/>
          </w:tcPr>
          <w:p>
            <w:pPr>
              <w:spacing w:after="0"/>
              <w:rPr>
                <w:sz w:val="1"/>
                <w:szCs w:val="1"/>
                <w:color w:val="auto"/>
              </w:rPr>
            </w:pPr>
          </w:p>
        </w:tc>
      </w:tr>
      <w:tr>
        <w:trPr>
          <w:trHeight w:val="414"/>
        </w:trPr>
        <w:tc>
          <w:tcPr>
            <w:tcW w:w="810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w:t>
            </w:r>
          </w:p>
        </w:tc>
        <w:tc>
          <w:tcPr>
            <w:tcW w:w="0" w:type="dxa"/>
            <w:vAlign w:val="bottom"/>
          </w:tcPr>
          <w:p>
            <w:pPr>
              <w:spacing w:after="0"/>
              <w:rPr>
                <w:sz w:val="1"/>
                <w:szCs w:val="1"/>
                <w:color w:val="auto"/>
              </w:rPr>
            </w:pPr>
          </w:p>
        </w:tc>
      </w:tr>
      <w:tr>
        <w:trPr>
          <w:trHeight w:val="23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persons in the capacities indicated on June</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2026.</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Jeremy Spivey</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7"/>
        </w:trPr>
        <w:tc>
          <w:tcPr>
            <w:tcW w:w="3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Director</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Jeremy Spivey</w:t>
            </w:r>
          </w:p>
        </w:tc>
        <w:tc>
          <w:tcPr>
            <w:tcW w:w="760" w:type="dxa"/>
            <w:vAlign w:val="bottom"/>
          </w:tcPr>
          <w:p>
            <w:pPr>
              <w:spacing w:after="0"/>
              <w:rPr>
                <w:sz w:val="19"/>
                <w:szCs w:val="19"/>
                <w:color w:val="auto"/>
              </w:rPr>
            </w:pPr>
          </w:p>
        </w:tc>
        <w:tc>
          <w:tcPr>
            <w:tcW w:w="4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Mike Rowe</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Mike Rowe</w:t>
            </w:r>
          </w:p>
        </w:tc>
        <w:tc>
          <w:tcPr>
            <w:tcW w:w="760" w:type="dxa"/>
            <w:vAlign w:val="bottom"/>
          </w:tcPr>
          <w:p>
            <w:pPr>
              <w:spacing w:after="0"/>
              <w:rPr>
                <w:sz w:val="19"/>
                <w:szCs w:val="19"/>
                <w:color w:val="auto"/>
              </w:rPr>
            </w:pPr>
          </w:p>
        </w:tc>
        <w:tc>
          <w:tcPr>
            <w:tcW w:w="4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Richard M. Lee</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1"/>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Richard M. Lee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Austin J. Shanfelter</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Austin J. Shanfelter</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Richard B. Wimmer</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Richard B. Wimmer</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Anthony L. Wood</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Anthony L. Wood</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 Ivy Zelman</w:t>
            </w:r>
          </w:p>
        </w:tc>
        <w:tc>
          <w:tcPr>
            <w:tcW w:w="760" w:type="dxa"/>
            <w:vAlign w:val="bottom"/>
          </w:tcPr>
          <w:p>
            <w:pPr>
              <w:spacing w:after="0"/>
              <w:rPr>
                <w:sz w:val="24"/>
                <w:szCs w:val="24"/>
                <w:color w:val="auto"/>
              </w:rPr>
            </w:pP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Ivy Zelman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2"/>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Roman"/>
      <w:start w:val="2"/>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emdash "/>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Roman"/>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Roman"/>
      <w:start w:val="2"/>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Roman"/>
      <w:start w:val="1"/>
    </w:lvl>
    <w:lvl w:ilvl="1">
      <w:lvlJc w:val="left"/>
      <w:lvlText w:val="%2."/>
      <w:numFmt w:val="lowerLetter"/>
      <w:start w:val="1"/>
    </w:lvl>
  </w:abstractNum>
  <w:abstractNum w:abstractNumId="42">
    <w:nsid w:val="32FFF902"/>
    <w:multiLevelType w:val="hybridMultilevel"/>
    <w:lvl w:ilvl="0">
      <w:lvlJc w:val="left"/>
      <w:lvlText w:val="(%1)"/>
      <w:numFmt w:val="lowerRoman"/>
      <w:start w:val="4"/>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lvl w:ilvl="1">
      <w:lvlJc w:val="left"/>
      <w:lvlText w:val="(%2)"/>
      <w:numFmt w:val="lowerLetter"/>
      <w:start w:val="2"/>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jpe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60" Type="http://schemas.openxmlformats.org/officeDocument/2006/relationships/image" Target="media/image146.png"/><Relationship Id="rId163" Type="http://schemas.openxmlformats.org/officeDocument/2006/relationships/image" Target="media/image147.png"/><Relationship Id="rId165"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37" Type="http://schemas.openxmlformats.org/officeDocument/2006/relationships/hyperlink" Target="http://www.sec.gov/Archives/edgar/data/2079999/000119312526120014/cdnl-20251231.htm" TargetMode="External"/><Relationship Id="rId138" Type="http://schemas.openxmlformats.org/officeDocument/2006/relationships/hyperlink" Target="http://www.sec.gov/Archives/edgar/data/2079999/000119312526221771/cdnl-20260331.htm" TargetMode="External"/><Relationship Id="rId139" Type="http://schemas.openxmlformats.org/officeDocument/2006/relationships/hyperlink" Target="http://www.sec.gov/Archives/edgar/data/2079999/000119312526114334/cdnl-20260312.htm" TargetMode="External"/><Relationship Id="rId140" Type="http://schemas.openxmlformats.org/officeDocument/2006/relationships/hyperlink" Target="http://www.sec.gov/Archives/edgar/data/2079999/000119312526259493/cdnl-20260605.htm" TargetMode="External"/><Relationship Id="rId141" Type="http://schemas.openxmlformats.org/officeDocument/2006/relationships/hyperlink" Target="http://www.sec.gov/Archives/edgar/data/2079999/000121390025119830/ea0266317-8a12b_cardinal.htm" TargetMode="External"/><Relationship Id="rId158" Type="http://schemas.openxmlformats.org/officeDocument/2006/relationships/hyperlink" Target="http://www.sec.gov/Archives/edgar/data/2079999/000121390025098415/ea025216207ex2-1_card.htm" TargetMode="External"/><Relationship Id="rId159" Type="http://schemas.openxmlformats.org/officeDocument/2006/relationships/hyperlink" Target="http://www.sec.gov/Archives/edgar/data/2079999/000121390026018087/ea027724801ex2-1_cardinal.htm" TargetMode="External"/><Relationship Id="rId161" Type="http://schemas.openxmlformats.org/officeDocument/2006/relationships/hyperlink" Target="http://www.sec.gov/Archives/edgar/data/2079999/000121390025119853/ea026876301ex4-1_cardinal.htm" TargetMode="External"/><Relationship Id="rId162" Type="http://schemas.openxmlformats.org/officeDocument/2006/relationships/hyperlink" Target="http://www.sec.gov/Archives/edgar/data/2079999/000121390025119853/ea026876301ex4-2_cardinal.htm" TargetMode="External"/><Relationship Id="rId164" Type="http://schemas.openxmlformats.org/officeDocument/2006/relationships/hyperlink" Target="http://www.sec.gov/Archives/edgar/data/2079999/000121390025113018/ea025216208ex4-1_card.htm" TargetMode="External"/><Relationship Id="rId166" Type="http://schemas.openxmlformats.org/officeDocument/2006/relationships/hyperlink" Target="http://www.sec.gov/Archives/edgar/data/2079999/000121390025121209/ea026878501ex10-3_cardinal.htm" TargetMode="External"/><Relationship Id="rId167" Type="http://schemas.openxmlformats.org/officeDocument/2006/relationships/hyperlink" Target="http://www.sec.gov/Archives/edgar/data/2079999/000121390025121209/ea026878501ex10-2_cardinal.htm" TargetMode="External"/><Relationship Id="rId168" Type="http://schemas.openxmlformats.org/officeDocument/2006/relationships/hyperlink" Target="http://www.sec.gov/Archives/edgar/data/2079999/000121390025098415/ea025216207ex10-2_card.htm" TargetMode="External"/><Relationship Id="rId169" Type="http://schemas.openxmlformats.org/officeDocument/2006/relationships/hyperlink" Target="http://www.sec.gov/Archives/edgar/data/2079999/000121390025121209/ea026878501ex10-1_cardinal.htm" TargetMode="External"/><Relationship Id="rId170" Type="http://schemas.openxmlformats.org/officeDocument/2006/relationships/hyperlink" Target="http://www.sec.gov/Archives/edgar/data/2079999/000121390025113018/ea025216208ex10-4_card.htm" TargetMode="External"/><Relationship Id="rId171" Type="http://schemas.openxmlformats.org/officeDocument/2006/relationships/hyperlink" Target="http://www.sec.gov/Archives/edgar/data/2079999/000121390025113018/ea025216208ex10-5_card.htm" TargetMode="External"/><Relationship Id="rId172" Type="http://schemas.openxmlformats.org/officeDocument/2006/relationships/hyperlink" Target="http://www.sec.gov/Archives/edgar/data/2079999/000121390025113018/ea025216208ex10-6_card.htm" TargetMode="External"/><Relationship Id="rId173" Type="http://schemas.openxmlformats.org/officeDocument/2006/relationships/hyperlink" Target="http://www.sec.gov/Archives/edgar/data/2079999/000121390025113018/ea025216208ex10-7_card.htm" TargetMode="External"/><Relationship Id="rId174" Type="http://schemas.openxmlformats.org/officeDocument/2006/relationships/hyperlink" Target="http://www.sec.gov/Archives/edgar/data/2079999/000121390025113018/ea025216208ex10-8_card.htm" TargetMode="External"/><Relationship Id="rId175" Type="http://schemas.openxmlformats.org/officeDocument/2006/relationships/hyperlink" Target="http://www.sec.gov/Archives/edgar/data/2079999/000121390025113018/ea025216208ex10-9_card.htm" TargetMode="External"/><Relationship Id="rId176" Type="http://schemas.openxmlformats.org/officeDocument/2006/relationships/hyperlink" Target="http://www.sec.gov/Archives/edgar/data/2079999/000121390025113018/ea025216208ex10-10_card.htm" TargetMode="External"/><Relationship Id="rId177" Type="http://schemas.openxmlformats.org/officeDocument/2006/relationships/hyperlink" Target="http://www.sec.gov/Archives/edgar/data/2079999/000121390026018087/ea027724801ex10-4_cardinal.htm" TargetMode="External"/><Relationship Id="rId178" Type="http://schemas.openxmlformats.org/officeDocument/2006/relationships/hyperlink" Target="http://www.sec.gov/Archives/edgar/data/2079999/000121390026018087/ea027724801ex10-5_cardinal.htm" TargetMode="External"/><Relationship Id="rId179" Type="http://schemas.openxmlformats.org/officeDocument/2006/relationships/hyperlink" Target="http://www.sec.gov/Archives/edgar/data/2079999/000121390026018087/ea027724801ex10-6_cardinal.htm" TargetMode="External"/><Relationship Id="rId180" Type="http://schemas.openxmlformats.org/officeDocument/2006/relationships/hyperlink" Target="http://www.sec.gov/Archives/edgar/data/2079999/000121390026018087/ea027724801ex10-7_cardinal.htm" TargetMode="External"/><Relationship Id="rId181" Type="http://schemas.openxmlformats.org/officeDocument/2006/relationships/hyperlink" Target="http://www.sec.gov/Archives/edgar/data/2079999/000121390026018087/ea027724801ex10-8_cardinal.htm" TargetMode="External"/><Relationship Id="rId182" Type="http://schemas.openxmlformats.org/officeDocument/2006/relationships/hyperlink" Target="http://www.sec.gov/Archives/edgar/data/2079999/000121390026018087/ea027724801ex10-9_card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2026-06-22T23:09:38Z</dcterms:created>
  <dcterms:modified xsi:type="dcterms:W3CDTF">2026-06-22T23:09:38Z</dcterms:modified>
</cp:coreProperties>
</file>