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dnl-20260630.htm"/>
      <w:bookmarkStart w:id="1" w:name="kscdnl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001-43004</w:t>
      </w:r>
    </w:p>
    <w:p>
      <w:pPr>
        <w:pStyle w:val="TextBody"/>
        <w:pBdr>
          <w:bottom w:val="single" w:sz="8" w:space="1" w:color="000000"/>
        </w:pBdr>
        <w:bidi w:val="0"/>
        <w:jc w:val="center"/>
        <w:rPr/>
      </w:pPr>
      <w:r>
        <w:rPr/>
        <w:t> </w:t>
      </w:r>
    </w:p>
    <w:p>
      <w:pPr>
        <w:pStyle w:val="TextBody"/>
        <w:bidi w:val="0"/>
        <w:spacing w:before="60" w:after="283"/>
        <w:jc w:val="center"/>
        <w:rPr/>
      </w:pPr>
      <w:r>
        <w:rPr/>
        <w:drawing>
          <wp:inline distT="0" distB="0" distL="0" distR="0">
            <wp:extent cx="119062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666750"/>
                    </a:xfrm>
                    <a:prstGeom prst="rect">
                      <a:avLst/>
                    </a:prstGeom>
                  </pic:spPr>
                </pic:pic>
              </a:graphicData>
            </a:graphic>
          </wp:inline>
        </w:drawing>
      </w:r>
    </w:p>
    <w:p>
      <w:pPr>
        <w:pStyle w:val="TextBody"/>
        <w:bidi w:val="0"/>
        <w:jc w:val="center"/>
        <w:rPr>
          <w:rFonts w:ascii="Times New Roman" w:hAnsi="Times New Roman"/>
          <w:b/>
          <w:color w:val="000000"/>
          <w:sz w:val="26"/>
        </w:rPr>
      </w:pPr>
      <w:r>
        <w:rPr>
          <w:rFonts w:ascii="Times New Roman" w:hAnsi="Times New Roman"/>
          <w:b/>
          <w:color w:val="000000"/>
          <w:sz w:val="26"/>
        </w:rPr>
        <w:t>Cardinal Infrastructure Group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767" w:type="dxa"/>
        <w:jc w:val="left"/>
        <w:tblInd w:w="0" w:type="dxa"/>
        <w:tblLayout w:type="fixed"/>
        <w:tblCellMar>
          <w:top w:w="28" w:type="dxa"/>
          <w:left w:w="28" w:type="dxa"/>
          <w:bottom w:w="28" w:type="dxa"/>
          <w:right w:w="28" w:type="dxa"/>
        </w:tblCellMar>
      </w:tblPr>
      <w:tblGrid>
        <w:gridCol w:w="2521"/>
        <w:gridCol w:w="1246"/>
      </w:tblGrid>
      <w:tr>
        <w:trPr/>
        <w:tc>
          <w:tcPr>
            <w:tcW w:w="25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39-3180206</w:t>
            </w:r>
          </w:p>
        </w:tc>
      </w:tr>
      <w:tr>
        <w:trPr/>
        <w:tc>
          <w:tcPr>
            <w:tcW w:w="25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5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100 E. Six Forks Road, #300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Raleigh, North Carolina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27609</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(919) 324-1964</w:t>
      </w:r>
    </w:p>
    <w:p>
      <w:pPr>
        <w:pStyle w:val="TextBody"/>
        <w:pBdr>
          <w:bottom w:val="single" w:sz="8" w:space="1" w:color="000000"/>
        </w:pBdr>
        <w:bidi w:val="0"/>
        <w:jc w:val="center"/>
        <w:rPr/>
      </w:pPr>
      <w:r>
        <w:rPr/>
        <w:t> </w:t>
      </w:r>
    </w:p>
    <w:p>
      <w:pPr>
        <w:pStyle w:val="TextBody"/>
        <w:bidi w:val="0"/>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CDNL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Times New Roman" w:hAnsi="Times New Roman"/>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spacing w:before="60" w:after="283"/>
        <w:jc w:val="both"/>
        <w:rPr>
          <w:rFonts w:ascii="Times New Roman" w:hAnsi="Times New Roman"/>
          <w:sz w:val="20"/>
        </w:rPr>
      </w:pPr>
      <w:r>
        <w:rPr>
          <w:rFonts w:ascii="Times New Roman" w:hAnsi="Times New Roman"/>
          <w:color w:val="000000"/>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7"/>
        </w:rPr>
        <w:t>As of August 3, 2026, the number of shares of Registrant’s Class A Common Stock outstanding was 20,428,610</w:t>
      </w:r>
      <w:r>
        <w:rPr>
          <w:rFonts w:ascii="Times New Roman" w:hAnsi="Times New Roman"/>
          <w:color w:val="000000"/>
          <w:sz w:val="20"/>
        </w:rPr>
        <w:t xml:space="preserve"> </w:t>
      </w:r>
      <w:r>
        <w:rPr>
          <w:rFonts w:ascii="Times New Roman" w:hAnsi="Times New Roman"/>
          <w:color w:val="000000"/>
          <w:sz w:val="17"/>
        </w:rPr>
        <w:t>and the number of shares of Registrant’s Class B Common Stock outstanding was 27,044,449.</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825" w:type="dxa"/>
        <w:jc w:val="left"/>
        <w:tblInd w:w="0" w:type="dxa"/>
        <w:tblLayout w:type="fixed"/>
        <w:tblCellMar>
          <w:top w:w="28" w:type="dxa"/>
          <w:left w:w="28" w:type="dxa"/>
          <w:bottom w:w="28" w:type="dxa"/>
          <w:right w:w="28" w:type="dxa"/>
        </w:tblCellMar>
      </w:tblPr>
      <w:tblGrid>
        <w:gridCol w:w="948"/>
        <w:gridCol w:w="7366"/>
        <w:gridCol w:w="511"/>
      </w:tblGrid>
      <w:tr>
        <w:trPr/>
        <w:tc>
          <w:tcPr>
            <w:tcW w:w="948"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b/>
                  <w:color w:val="0563C1"/>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563C1"/>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563C1"/>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563C1"/>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income">
              <w:r>
                <w:rPr>
                  <w:rStyle w:val="InternetLink"/>
                  <w:rFonts w:ascii="Times New Roman" w:hAnsi="Times New Roman"/>
                  <w:color w:val="0563C1"/>
                  <w:sz w:val="20"/>
                  <w:u w:val="single"/>
                </w:rPr>
                <w:t>Condensed Consolidated Statements of Comprehensive Income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equity">
              <w:r>
                <w:rPr>
                  <w:rStyle w:val="InternetLink"/>
                  <w:rFonts w:ascii="Times New Roman" w:hAnsi="Times New Roman"/>
                  <w:color w:val="0563C1"/>
                  <w:sz w:val="20"/>
                  <w:u w:val="single"/>
                </w:rPr>
                <w:t>Condensed Consolidated Statements of Changes in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563C1"/>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563C1"/>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item_2">
              <w:r>
                <w:rPr>
                  <w:rStyle w:val="InternetLink"/>
                  <w:rFonts w:ascii="Times New Roman" w:hAnsi="Times New Roman"/>
                  <w:color w:val="0563C1"/>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37</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item_3">
              <w:r>
                <w:rPr>
                  <w:rStyle w:val="InternetLink"/>
                  <w:rFonts w:ascii="Times New Roman" w:hAnsi="Times New Roman"/>
                  <w:color w:val="0563C1"/>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51</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item_4">
              <w:r>
                <w:rPr>
                  <w:rStyle w:val="InternetLink"/>
                  <w:rFonts w:ascii="Times New Roman" w:hAnsi="Times New Roman"/>
                  <w:color w:val="0563C1"/>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1">
              <w:r>
                <w:rPr>
                  <w:rStyle w:val="InternetLink"/>
                  <w:rFonts w:ascii="Times New Roman" w:hAnsi="Times New Roman"/>
                  <w:b/>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1">
              <w:r>
                <w:rPr>
                  <w:rStyle w:val="InternetLink"/>
                  <w:rFonts w:ascii="Times New Roman" w:hAnsi="Times New Roman"/>
                  <w:color w:val="0563C1"/>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54</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1a">
              <w:r>
                <w:rPr>
                  <w:rStyle w:val="InternetLink"/>
                  <w:rFonts w:ascii="Times New Roman" w:hAnsi="Times New Roman"/>
                  <w:color w:val="0563C1"/>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54</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2">
              <w:r>
                <w:rPr>
                  <w:rStyle w:val="InternetLink"/>
                  <w:rFonts w:ascii="Times New Roman" w:hAnsi="Times New Roman"/>
                  <w:color w:val="0563C1"/>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54</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3">
              <w:r>
                <w:rPr>
                  <w:rStyle w:val="InternetLink"/>
                  <w:rFonts w:ascii="Times New Roman" w:hAnsi="Times New Roman"/>
                  <w:color w:val="0563C1"/>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54</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4">
              <w:r>
                <w:rPr>
                  <w:rStyle w:val="InternetLink"/>
                  <w:rFonts w:ascii="Times New Roman" w:hAnsi="Times New Roman"/>
                  <w:color w:val="0563C1"/>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54</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5">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54</w:t>
            </w:r>
          </w:p>
        </w:tc>
      </w:tr>
      <w:tr>
        <w:trPr/>
        <w:tc>
          <w:tcPr>
            <w:tcW w:w="9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6">
              <w:r>
                <w:rPr>
                  <w:rStyle w:val="InternetLink"/>
                  <w:rFonts w:ascii="Times New Roman" w:hAnsi="Times New Roman"/>
                  <w:color w:val="0563C1"/>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3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Cardinal Infrastructure Group Inc.</w:t>
      </w:r>
    </w:p>
    <w:p>
      <w:pPr>
        <w:pStyle w:val="TextBody"/>
        <w:bidi w:val="0"/>
        <w:jc w:val="center"/>
        <w:rPr>
          <w:rFonts w:ascii="Times New Roman" w:hAnsi="Times New Roman"/>
          <w:b/>
          <w:color w:val="000000"/>
          <w:sz w:val="20"/>
        </w:rPr>
      </w:pPr>
      <w:bookmarkStart w:id="3" w:name="consolidated_balance_sheets"/>
      <w:bookmarkEnd w:id="3"/>
      <w:r>
        <w:rPr>
          <w:rFonts w:ascii="Times New Roman" w:hAnsi="Times New Roman"/>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6022"/>
        <w:gridCol w:w="246"/>
        <w:gridCol w:w="211"/>
        <w:gridCol w:w="1291"/>
        <w:gridCol w:w="246"/>
        <w:gridCol w:w="246"/>
        <w:gridCol w:w="211"/>
        <w:gridCol w:w="1141"/>
        <w:gridCol w:w="591"/>
      </w:tblGrid>
      <w:tr>
        <w:trPr/>
        <w:tc>
          <w:tcPr>
            <w:tcW w:w="6022"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591" w:type="dxa"/>
            <w:tcBorders/>
            <w:shd w:fill="FFFFFF" w:val="clear"/>
            <w:vAlign w:val="center"/>
          </w:tcPr>
          <w:p>
            <w:pPr>
              <w:pStyle w:val="TableContents"/>
              <w:bidi w:val="0"/>
              <w:spacing w:before="0" w:after="283"/>
              <w:jc w:val="left"/>
              <w:rPr>
                <w:sz w:val="4"/>
                <w:szCs w:val="4"/>
              </w:rPr>
            </w:pPr>
            <w:r>
              <w:rPr>
                <w:sz w:val="4"/>
                <w:szCs w:val="4"/>
              </w:rPr>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June 30,</w:t>
              <w:br/>
              <w:t>2026</w:t>
              <w:br/>
              <w:t> (Unaudited)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339,092,289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97,149,425</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114,413,290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61,282,268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Contract assets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98,171,438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54,894,260</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2,099,136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1,892,615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1,306,912</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432,584</w:t>
            </w:r>
          </w:p>
        </w:tc>
        <w:tc>
          <w:tcPr>
            <w:tcW w:w="5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555,083,065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215,651,152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Property and equipment, net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150,212,265</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84,901,602</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20,664,409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8,929,742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Goodwill</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133,216,343</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23,510,649</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Intangible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101,851,956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15,513,692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Deferred tax assets</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52,888,382</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46,080,518</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Other non-current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554,739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1,014,471,159</w:t>
            </w:r>
          </w:p>
        </w:tc>
        <w:tc>
          <w:tcPr>
            <w:tcW w:w="2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394,587,355</w:t>
            </w:r>
          </w:p>
        </w:tc>
        <w:tc>
          <w:tcPr>
            <w:tcW w:w="5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Current portion of notes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10,970,395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6,128,674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Current portion of finance lease liabilities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3,433,406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3,349,359</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Current portion of 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6,187,695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3,814,686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111,988,244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60,600,099</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11,486,477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2,956,314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consideration payable</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1,200,000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3,966,618</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Contract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9,230,997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10,831,564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2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154,497,214</w:t>
            </w:r>
          </w:p>
        </w:tc>
        <w:tc>
          <w:tcPr>
            <w:tcW w:w="2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91,647,314</w:t>
            </w:r>
          </w:p>
        </w:tc>
        <w:tc>
          <w:tcPr>
            <w:tcW w:w="591" w:type="dxa"/>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Notes payable, less current portion, net of unamortized debt issuance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186,069,703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113,152,864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Finance lease liabilities, less current portion</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4,071,911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4,974,309</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 less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16,886,049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5,851,516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Tax receivable agreement liability</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47,156,582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39,423,529</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12,300,000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2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420,981,459</w:t>
            </w:r>
          </w:p>
        </w:tc>
        <w:tc>
          <w:tcPr>
            <w:tcW w:w="2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255,049,532</w:t>
            </w:r>
          </w:p>
        </w:tc>
        <w:tc>
          <w:tcPr>
            <w:tcW w:w="591" w:type="dxa"/>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$0.0001</w:t>
            </w:r>
            <w:r>
              <w:rPr>
                <w:rFonts w:ascii="Times New Roman" w:hAnsi="Times New Roman"/>
                <w:color w:val="000000"/>
                <w:sz w:val="20"/>
              </w:rPr>
              <w:t> </w:t>
            </w:r>
            <w:r>
              <w:rPr>
                <w:rFonts w:ascii="Times New Roman" w:hAnsi="Times New Roman"/>
                <w:color w:val="000000"/>
                <w:sz w:val="19"/>
              </w:rPr>
              <w:t>par value, 10,000,000</w:t>
            </w:r>
            <w:r>
              <w:rPr>
                <w:rFonts w:ascii="Times New Roman" w:hAnsi="Times New Roman"/>
                <w:color w:val="000000"/>
                <w:sz w:val="20"/>
              </w:rPr>
              <w:t> </w:t>
            </w:r>
            <w:r>
              <w:rPr>
                <w:rFonts w:ascii="Times New Roman" w:hAnsi="Times New Roman"/>
                <w:color w:val="000000"/>
                <w:sz w:val="19"/>
              </w:rPr>
              <w:t>shares authorized, no</w:t>
            </w:r>
            <w:r>
              <w:rPr>
                <w:rFonts w:ascii="Times New Roman" w:hAnsi="Times New Roman"/>
                <w:color w:val="000000"/>
                <w:sz w:val="20"/>
              </w:rPr>
              <w:t> </w:t>
            </w:r>
            <w:r>
              <w:rPr>
                <w:rFonts w:ascii="Times New Roman" w:hAnsi="Times New Roman"/>
                <w:color w:val="000000"/>
                <w:sz w:val="19"/>
              </w:rPr>
              <w:t>shares issued and outstanding as of June 30, 2026 and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A common stock, $0.0001</w:t>
            </w:r>
            <w:r>
              <w:rPr>
                <w:rFonts w:ascii="Times New Roman" w:hAnsi="Times New Roman"/>
                <w:color w:val="000000"/>
                <w:sz w:val="20"/>
              </w:rPr>
              <w:t> </w:t>
            </w:r>
            <w:r>
              <w:rPr>
                <w:rFonts w:ascii="Times New Roman" w:hAnsi="Times New Roman"/>
                <w:color w:val="000000"/>
                <w:sz w:val="19"/>
              </w:rPr>
              <w:t>par value, 500,000,000</w:t>
            </w:r>
            <w:r>
              <w:rPr>
                <w:rFonts w:ascii="Times New Roman" w:hAnsi="Times New Roman"/>
                <w:color w:val="000000"/>
                <w:sz w:val="20"/>
              </w:rPr>
              <w:t> </w:t>
            </w:r>
            <w:r>
              <w:rPr>
                <w:rFonts w:ascii="Times New Roman" w:hAnsi="Times New Roman"/>
                <w:color w:val="000000"/>
                <w:sz w:val="19"/>
              </w:rPr>
              <w:t>shares authorized; 20,238,610</w:t>
            </w:r>
            <w:r>
              <w:rPr>
                <w:rFonts w:ascii="Times New Roman" w:hAnsi="Times New Roman"/>
                <w:color w:val="000000"/>
                <w:sz w:val="20"/>
              </w:rPr>
              <w:t> </w:t>
            </w:r>
            <w:r>
              <w:rPr>
                <w:rFonts w:ascii="Times New Roman" w:hAnsi="Times New Roman"/>
                <w:color w:val="000000"/>
                <w:sz w:val="19"/>
              </w:rPr>
              <w:t>and 14,947,318</w:t>
            </w:r>
            <w:r>
              <w:rPr>
                <w:rFonts w:ascii="Times New Roman" w:hAnsi="Times New Roman"/>
                <w:color w:val="000000"/>
                <w:sz w:val="20"/>
              </w:rPr>
              <w:t> </w:t>
            </w:r>
            <w:r>
              <w:rPr>
                <w:rFonts w:ascii="Times New Roman" w:hAnsi="Times New Roman"/>
                <w:color w:val="000000"/>
                <w:sz w:val="19"/>
              </w:rPr>
              <w:t>shares issued and outstanding as of June 30, 2026 and December 31, 2025, respectively</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1,495</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B common stock, $0.0001</w:t>
            </w:r>
            <w:r>
              <w:rPr>
                <w:rFonts w:ascii="Times New Roman" w:hAnsi="Times New Roman"/>
                <w:color w:val="000000"/>
                <w:sz w:val="20"/>
              </w:rPr>
              <w:t> </w:t>
            </w:r>
            <w:r>
              <w:rPr>
                <w:rFonts w:ascii="Times New Roman" w:hAnsi="Times New Roman"/>
                <w:color w:val="000000"/>
                <w:sz w:val="19"/>
              </w:rPr>
              <w:t>par value, 500,000,000</w:t>
            </w:r>
            <w:r>
              <w:rPr>
                <w:rFonts w:ascii="Times New Roman" w:hAnsi="Times New Roman"/>
                <w:color w:val="000000"/>
                <w:sz w:val="20"/>
              </w:rPr>
              <w:t> </w:t>
            </w:r>
            <w:r>
              <w:rPr>
                <w:rFonts w:ascii="Times New Roman" w:hAnsi="Times New Roman"/>
                <w:color w:val="000000"/>
                <w:sz w:val="19"/>
              </w:rPr>
              <w:t>shares authorized; 27,234,449</w:t>
            </w:r>
            <w:r>
              <w:rPr>
                <w:rFonts w:ascii="Times New Roman" w:hAnsi="Times New Roman"/>
                <w:color w:val="000000"/>
                <w:sz w:val="20"/>
              </w:rPr>
              <w:t> </w:t>
            </w:r>
            <w:r>
              <w:rPr>
                <w:rFonts w:ascii="Times New Roman" w:hAnsi="Times New Roman"/>
                <w:color w:val="000000"/>
                <w:sz w:val="19"/>
              </w:rPr>
              <w:t>and 23,387,813</w:t>
            </w:r>
            <w:r>
              <w:rPr>
                <w:rFonts w:ascii="Times New Roman" w:hAnsi="Times New Roman"/>
                <w:color w:val="000000"/>
                <w:sz w:val="20"/>
              </w:rPr>
              <w:t> </w:t>
            </w:r>
            <w:r>
              <w:rPr>
                <w:rFonts w:ascii="Times New Roman" w:hAnsi="Times New Roman"/>
                <w:color w:val="000000"/>
                <w:sz w:val="19"/>
              </w:rPr>
              <w:t>shares issued and outstanding as of June 30, 2026 and December 31, 2025,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236,061,238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57,593,814</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Retained earnings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8,957,398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863,593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33,630</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Cardinal Infrastructure Group Inc. stockholders'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245,057,014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58,461,241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Noncontrolling interests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348,432,686</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81,076,582</w:t>
            </w:r>
          </w:p>
        </w:tc>
        <w:tc>
          <w:tcPr>
            <w:tcW w:w="5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593,489,700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139,537,823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2"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1,014,471,159</w:t>
            </w:r>
          </w:p>
        </w:tc>
        <w:tc>
          <w:tcPr>
            <w:tcW w:w="2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394,587,355</w:t>
            </w:r>
          </w:p>
        </w:tc>
        <w:tc>
          <w:tcPr>
            <w:tcW w:w="5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Cardinal Infrastructure Group Inc.</w:t>
      </w:r>
    </w:p>
    <w:p>
      <w:pPr>
        <w:pStyle w:val="TextBody"/>
        <w:bidi w:val="0"/>
        <w:jc w:val="center"/>
        <w:rPr>
          <w:rFonts w:ascii="Times New Roman" w:hAnsi="Times New Roman"/>
          <w:b/>
          <w:color w:val="000000"/>
          <w:sz w:val="20"/>
        </w:rPr>
      </w:pPr>
      <w:bookmarkStart w:id="4" w:name="consolidated_statements_of_operations"/>
      <w:bookmarkEnd w:id="4"/>
      <w:r>
        <w:rPr>
          <w:rFonts w:ascii="Times New Roman" w:hAnsi="Times New Roman"/>
          <w:b/>
          <w:color w:val="000000"/>
          <w:sz w:val="20"/>
        </w:rPr>
        <w:t>Condensed Consolidated Statements of Operations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4"/>
        <w:gridCol w:w="211"/>
        <w:gridCol w:w="1141"/>
        <w:gridCol w:w="246"/>
        <w:gridCol w:w="246"/>
        <w:gridCol w:w="211"/>
        <w:gridCol w:w="1141"/>
        <w:gridCol w:w="166"/>
        <w:gridCol w:w="146"/>
        <w:gridCol w:w="211"/>
        <w:gridCol w:w="1141"/>
        <w:gridCol w:w="266"/>
        <w:gridCol w:w="246"/>
        <w:gridCol w:w="211"/>
        <w:gridCol w:w="1141"/>
        <w:gridCol w:w="246"/>
        <w:gridCol w:w="391"/>
      </w:tblGrid>
      <w:tr>
        <w:trPr/>
        <w:tc>
          <w:tcPr>
            <w:tcW w:w="2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226,934,438</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106,110,909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394,443,154</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187,912,174</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excluding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190,886,964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324,206,047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148,789,325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9,024,651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2,965,982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19,166,782</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5,091,952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6,768,987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12,471,397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11,177,155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4,824,386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8,391,734</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3,309,679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property and equipment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(110,945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Income from operations</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15,478,448</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11,745,587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30,258,589</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19,655,008</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(3,466,263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(1,581,192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(5,712,139</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(2,607,468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(1,875,001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(1,875,001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(241,407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 net</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(5,341,264</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(1,581,199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(7,587,140</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(2,848,875</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before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10,137,184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22,671,449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16,806,133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(provision)</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1,011,122</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(42,107</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(714,261</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11,148,306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22,629,342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16,091,872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6,472,939</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2,282,422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14,535,537</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3,447,186</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Cardinal Infrastructure Group Inc.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4,675,367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8,093,805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12,644,686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Earnings per share</w:t>
            </w:r>
            <w:r>
              <w:rPr>
                <w:rFonts w:ascii="Times New Roman" w:hAnsi="Times New Roman"/>
                <w:color w:val="000000"/>
                <w:sz w:val="13"/>
              </w:rPr>
              <w:t>(1)</w:t>
            </w:r>
            <w:r>
              <w:rPr>
                <w:rFonts w:ascii="Times New Roman" w:hAnsi="Times New Roman"/>
                <w:color w:val="000000"/>
                <w:sz w:val="20"/>
              </w:rPr>
              <w:t>:</w:t>
            </w:r>
          </w:p>
        </w:tc>
        <w:tc>
          <w:tcPr>
            <w:tcW w:w="13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shares of Class A common stock outstanding</w:t>
            </w:r>
            <w:r>
              <w:rPr>
                <w:rFonts w:ascii="Times New Roman" w:hAnsi="Times New Roman"/>
                <w:color w:val="000000"/>
                <w:sz w:val="13"/>
              </w:rPr>
              <w:t>(1)</w:t>
            </w:r>
            <w:r>
              <w:rPr>
                <w:rFonts w:ascii="Times New Roman" w:hAnsi="Times New Roman"/>
                <w:color w:val="000000"/>
                <w:sz w:val="20"/>
              </w:rPr>
              <w:t>:</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15,586,953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15,349,112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43,127,603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15,353,808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Represents earnings per share of Class A common stock and weighted-average shares of Class A common stock outstanding for the period following the recapitalization transactions and IPO (see Note 14)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comprehensive_income"/>
      <w:bookmarkEnd w:id="5"/>
      <w:r>
        <w:rPr>
          <w:rFonts w:ascii="Times New Roman" w:hAnsi="Times New Roman"/>
          <w:b/>
          <w:color w:val="000000"/>
          <w:sz w:val="20"/>
        </w:rPr>
        <w:t>Cardinal Infrastructure Group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3129"/>
        <w:gridCol w:w="211"/>
        <w:gridCol w:w="1036"/>
        <w:gridCol w:w="266"/>
        <w:gridCol w:w="246"/>
        <w:gridCol w:w="211"/>
        <w:gridCol w:w="991"/>
        <w:gridCol w:w="166"/>
        <w:gridCol w:w="246"/>
        <w:gridCol w:w="211"/>
        <w:gridCol w:w="1096"/>
        <w:gridCol w:w="266"/>
        <w:gridCol w:w="246"/>
        <w:gridCol w:w="211"/>
        <w:gridCol w:w="1036"/>
        <w:gridCol w:w="246"/>
        <w:gridCol w:w="391"/>
      </w:tblGrid>
      <w:tr>
        <w:trPr/>
        <w:tc>
          <w:tcPr>
            <w:tcW w:w="3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r>
      <w:tr>
        <w:trPr/>
        <w:tc>
          <w:tcPr>
            <w:tcW w:w="3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11,148,306</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9,450,127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22,629,342</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16,091,872</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net of tax:</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cash flow hedge gain</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589,535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63,358</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Realized cash flow hedge loss reclassified to 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612,764</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104,400</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11,761,070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22,733,742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16,091,872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comprehensive income attributable to noncontrolling interests</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(6,900,169</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(2,282,422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(14,606,307</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(3,447,186</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Cardinal Infrastructure Group Inc.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4,860,901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8,127,435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12,644,686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Cardinal Infrastructure Group Inc.</w:t>
      </w:r>
    </w:p>
    <w:p>
      <w:pPr>
        <w:pStyle w:val="TextBody"/>
        <w:bidi w:val="0"/>
        <w:jc w:val="center"/>
        <w:rPr>
          <w:rFonts w:ascii="Times New Roman" w:hAnsi="Times New Roman"/>
          <w:sz w:val="20"/>
        </w:rPr>
      </w:pPr>
      <w:bookmarkStart w:id="6" w:name="consolidated_statements_of_equity"/>
      <w:bookmarkEnd w:id="6"/>
      <w:r>
        <w:rPr>
          <w:rFonts w:ascii="Times New Roman" w:hAnsi="Times New Roman"/>
          <w:b/>
          <w:color w:val="000000"/>
          <w:sz w:val="20"/>
        </w:rPr>
        <w:t>Condensed Consolidated Statements of Changes in Stockholders'/Members' Equity</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Three and Six Months Ended June 30, 2026 and 2025</w:t>
      </w:r>
    </w:p>
    <w:tbl>
      <w:tblPr>
        <w:tblW w:w="16544" w:type="dxa"/>
        <w:jc w:val="left"/>
        <w:tblInd w:w="0" w:type="dxa"/>
        <w:tblLayout w:type="fixed"/>
        <w:tblCellMar>
          <w:top w:w="28" w:type="dxa"/>
          <w:left w:w="28" w:type="dxa"/>
          <w:bottom w:w="28" w:type="dxa"/>
          <w:right w:w="28" w:type="dxa"/>
        </w:tblCellMar>
      </w:tblPr>
      <w:tblGrid>
        <w:gridCol w:w="1346"/>
        <w:gridCol w:w="196"/>
        <w:gridCol w:w="916"/>
        <w:gridCol w:w="266"/>
        <w:gridCol w:w="246"/>
        <w:gridCol w:w="146"/>
        <w:gridCol w:w="916"/>
        <w:gridCol w:w="246"/>
        <w:gridCol w:w="246"/>
        <w:gridCol w:w="196"/>
        <w:gridCol w:w="511"/>
        <w:gridCol w:w="246"/>
        <w:gridCol w:w="246"/>
        <w:gridCol w:w="146"/>
        <w:gridCol w:w="916"/>
        <w:gridCol w:w="246"/>
        <w:gridCol w:w="246"/>
        <w:gridCol w:w="196"/>
        <w:gridCol w:w="511"/>
        <w:gridCol w:w="246"/>
        <w:gridCol w:w="246"/>
        <w:gridCol w:w="196"/>
        <w:gridCol w:w="1006"/>
        <w:gridCol w:w="246"/>
        <w:gridCol w:w="246"/>
        <w:gridCol w:w="196"/>
        <w:gridCol w:w="826"/>
        <w:gridCol w:w="246"/>
        <w:gridCol w:w="246"/>
        <w:gridCol w:w="211"/>
        <w:gridCol w:w="810"/>
        <w:gridCol w:w="266"/>
        <w:gridCol w:w="246"/>
        <w:gridCol w:w="196"/>
        <w:gridCol w:w="1006"/>
        <w:gridCol w:w="266"/>
        <w:gridCol w:w="246"/>
        <w:gridCol w:w="196"/>
        <w:gridCol w:w="1006"/>
        <w:gridCol w:w="411"/>
      </w:tblGrid>
      <w:tr>
        <w:trPr/>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Cardinal Infrastructure Group Inc. stockholders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w:t>
              <w:br/>
              <w:t>Stock</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w:t>
              <w:br/>
              <w:t>Stock</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Members' Equity</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br/>
              <w:t>Earnings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income (loss)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br/>
              <w:t>Interests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11,757,715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11,596,261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23,353,976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5,476,981</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1"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1,164,764</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6,641,745</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Member distributions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(2,640,321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(157,615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Rollover equity issued in business combinations</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2,800,000</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2,800,000</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14,594,375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15,403,410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29,997,785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7,167,705</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1"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2,282,422</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9,450,127</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Member distributions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(2,660,337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(336,420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(2,996,757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Rollover equity issued in business combinations</w:t>
            </w:r>
          </w:p>
        </w:tc>
        <w:tc>
          <w:tcPr>
            <w:tcW w:w="111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1,740,000</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1,740,000</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19,101,743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19,089,412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38,191,155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1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6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14,947,318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23,387,813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57,593,814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863,593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81,076,582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139,537,823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11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3,418,438</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8,062,598</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11,481,036</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cash flow hedge losses, net of tax benefit of $24,756</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(158,259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(367,918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(526,177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Realized cash flow hedge losses reclassified to net income</w:t>
            </w:r>
          </w:p>
        </w:tc>
        <w:tc>
          <w:tcPr>
            <w:tcW w:w="111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6,355</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11,458</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17,813</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stock awards, net</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191,852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Class A stock awards issued in consideration for ALGC Acquisition</w:t>
            </w:r>
          </w:p>
        </w:tc>
        <w:tc>
          <w:tcPr>
            <w:tcW w:w="111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345,666</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8,489,522</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8,489,557</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Class B equity issued in consideration for ALGC Acquisition</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4,186,062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102,809,264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102,809,682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15,292,984</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27,573,875</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2,757</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66,275,188</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4,282,031</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(151,904</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191,591,984</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262,001,586</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4,675,367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6,472,939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11,148,306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cash flow hedge gains, net of tax benefit of $56,315</w:t>
            </w:r>
          </w:p>
        </w:tc>
        <w:tc>
          <w:tcPr>
            <w:tcW w:w="111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177,137</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412,398</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589,535</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Realized cash flow hedge losses reclassified to net income</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stock awards, net</w:t>
            </w:r>
          </w:p>
        </w:tc>
        <w:tc>
          <w:tcPr>
            <w:tcW w:w="111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269,664</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269,665</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Issuance of Class A common stock sold in secondary public offering and greenshoe, net of underwriting discounts of $16.790</w:t>
            </w:r>
            <w:r>
              <w:rPr>
                <w:rFonts w:ascii="Times New Roman" w:hAnsi="Times New Roman"/>
                <w:color w:val="000000"/>
                <w:sz w:val="20"/>
              </w:rPr>
              <w:t> </w:t>
            </w:r>
            <w:r>
              <w:rPr>
                <w:rFonts w:ascii="Times New Roman" w:hAnsi="Times New Roman"/>
                <w:color w:val="000000"/>
                <w:sz w:val="16"/>
              </w:rPr>
              <w:t>million and other offering costs of $0.568</w:t>
            </w:r>
            <w:r>
              <w:rPr>
                <w:rFonts w:ascii="Times New Roman" w:hAnsi="Times New Roman"/>
                <w:color w:val="000000"/>
                <w:sz w:val="20"/>
              </w:rPr>
              <w:t> </w:t>
            </w:r>
            <w:r>
              <w:rPr>
                <w:rFonts w:ascii="Times New Roman" w:hAnsi="Times New Roman"/>
                <w:color w:val="000000"/>
                <w:sz w:val="16"/>
              </w:rPr>
              <w:t>million</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4,600,000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318,440,677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318,441,137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5780" w:type="dxa"/>
        <w:jc w:val="left"/>
        <w:tblInd w:w="0" w:type="dxa"/>
        <w:tblLayout w:type="fixed"/>
        <w:tblCellMar>
          <w:top w:w="28" w:type="dxa"/>
          <w:left w:w="28" w:type="dxa"/>
          <w:bottom w:w="28" w:type="dxa"/>
          <w:right w:w="28" w:type="dxa"/>
        </w:tblCellMar>
      </w:tblPr>
      <w:tblGrid>
        <w:gridCol w:w="1316"/>
        <w:gridCol w:w="196"/>
        <w:gridCol w:w="346"/>
        <w:gridCol w:w="246"/>
        <w:gridCol w:w="246"/>
        <w:gridCol w:w="146"/>
        <w:gridCol w:w="916"/>
        <w:gridCol w:w="246"/>
        <w:gridCol w:w="246"/>
        <w:gridCol w:w="196"/>
        <w:gridCol w:w="511"/>
        <w:gridCol w:w="246"/>
        <w:gridCol w:w="246"/>
        <w:gridCol w:w="146"/>
        <w:gridCol w:w="916"/>
        <w:gridCol w:w="266"/>
        <w:gridCol w:w="246"/>
        <w:gridCol w:w="196"/>
        <w:gridCol w:w="511"/>
        <w:gridCol w:w="266"/>
        <w:gridCol w:w="246"/>
        <w:gridCol w:w="196"/>
        <w:gridCol w:w="1066"/>
        <w:gridCol w:w="266"/>
        <w:gridCol w:w="246"/>
        <w:gridCol w:w="196"/>
        <w:gridCol w:w="826"/>
        <w:gridCol w:w="246"/>
        <w:gridCol w:w="246"/>
        <w:gridCol w:w="196"/>
        <w:gridCol w:w="601"/>
        <w:gridCol w:w="246"/>
        <w:gridCol w:w="246"/>
        <w:gridCol w:w="196"/>
        <w:gridCol w:w="1006"/>
        <w:gridCol w:w="266"/>
        <w:gridCol w:w="246"/>
        <w:gridCol w:w="196"/>
        <w:gridCol w:w="1006"/>
        <w:gridCol w:w="391"/>
      </w:tblGrid>
      <w:tr>
        <w:trPr/>
        <w:tc>
          <w:tcPr>
            <w:tcW w:w="1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3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Exchange of Class B Units from Continuing Owners</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339,426</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(339,426</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2,433,647</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(2,433,647</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Establishment of tax receivable agreement liability and corresponding deferred tax assets</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1,016,242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Allocation of equity to non-controlling interests</w:t>
            </w:r>
          </w:p>
        </w:tc>
        <w:tc>
          <w:tcPr>
            <w:tcW w:w="54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(152,374,180</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152,374,180</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20,238,610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27,234,449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236,061,238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8,957,398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33,630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348,432,686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593,489,700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Cardinal Infrastructure Group Inc.</w:t>
      </w:r>
    </w:p>
    <w:p>
      <w:pPr>
        <w:pStyle w:val="TextBody"/>
        <w:bidi w:val="0"/>
        <w:jc w:val="center"/>
        <w:rPr>
          <w:rFonts w:ascii="Times New Roman" w:hAnsi="Times New Roman"/>
          <w:b/>
          <w:color w:val="000000"/>
          <w:sz w:val="20"/>
        </w:rPr>
      </w:pPr>
      <w:bookmarkStart w:id="7" w:name="consolidated_statements_of_cash_flows"/>
      <w:bookmarkEnd w:id="7"/>
      <w:r>
        <w:rPr>
          <w:rFonts w:ascii="Times New Roman" w:hAnsi="Times New Roman"/>
          <w:b/>
          <w:color w:val="000000"/>
          <w:sz w:val="20"/>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5671"/>
        <w:gridCol w:w="246"/>
        <w:gridCol w:w="211"/>
        <w:gridCol w:w="1201"/>
        <w:gridCol w:w="266"/>
        <w:gridCol w:w="246"/>
        <w:gridCol w:w="211"/>
        <w:gridCol w:w="1096"/>
        <w:gridCol w:w="266"/>
        <w:gridCol w:w="791"/>
      </w:tblGrid>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791"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22,629,342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16,091,872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07"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12,471,397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11,177,155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issuance costs</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275,751</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other intangible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8,391,734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3,309,679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(51,395</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(110,945</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stock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461,517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tax receivable agreement liability</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1,974,349</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from investments in unconsolidated affiliates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(95,393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deferred income taxes</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(43,438</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(34,379,220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(913,222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Contract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(32,710,166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(14,340,614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230,034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(333,966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308,820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(1,707,595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39,648,363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7,052,718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7,160,234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764,403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Contract liabilities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(4,371,898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(4,572,010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21,995,424</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16,322,082</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1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1307"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(33,985,056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(22,621,352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net of cash acquired</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(133,432,856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(19,139,168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(167,083,621</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(41,616,509</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notes payable</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113,000,000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38,505,712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notes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(38,090,709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(7,753,497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(838,501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finance lease obligations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(1,514,248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(1,436,760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deferred consideration</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(3,966,618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Member distributions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(5,448,838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equity offering, net of underwriting discounts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319,010,000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issuance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(568,863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387,031,061</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23,554,116</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241,942,864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(1,740,311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2"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07"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Beginning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97,149,425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20,917,108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End of period</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339,092,289</w:t>
            </w:r>
          </w:p>
        </w:tc>
        <w:tc>
          <w:tcPr>
            <w:tcW w:w="2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19,176,797</w:t>
            </w:r>
          </w:p>
        </w:tc>
        <w:tc>
          <w:tcPr>
            <w:tcW w:w="2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acquired through acquisitions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39,898,289</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11,772,500</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financed with finance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695,897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1,442,071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financed with notes payable</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3,412,020</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in accounts payable and accrued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recognized with operating leases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13,336,266</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1,937,837</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Unfavorable lease fair value adjustment recognized on acquisition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1,380,000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 accrued and unpaid member distributions</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345,855</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66"/>
        <w:gridCol w:w="146"/>
        <w:gridCol w:w="146"/>
        <w:gridCol w:w="1141"/>
        <w:gridCol w:w="246"/>
        <w:gridCol w:w="246"/>
        <w:gridCol w:w="146"/>
        <w:gridCol w:w="931"/>
        <w:gridCol w:w="246"/>
        <w:gridCol w:w="391"/>
      </w:tblGrid>
      <w:tr>
        <w:trPr/>
        <w:tc>
          <w:tcPr>
            <w:tcW w:w="65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deferred acquisition consideration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1,358,331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cash flow hedge losses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63,358</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stock awards issued as consideration for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8,489,557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equity and LLC units issued as consideration for acquisition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102,809,682</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contingent consideration liabilities - Tax Benefit Agreement and 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12,300,000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Rollover equity issued as consideration for acquisitions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4,540,000</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Establishment of deferred tax asset related to the 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6,774,946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Establishment of liabilities under the Tax Receivable Agreement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5,758,704</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effect of the Tax Receivable Agreement within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1,016,242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Cardinal Infrastructure Group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spacing w:before="0" w:after="120"/>
        <w:jc w:val="left"/>
        <w:rPr>
          <w:rFonts w:ascii="Times New Roman" w:hAnsi="Times New Roman"/>
          <w:b/>
          <w:color w:val="000000"/>
          <w:sz w:val="20"/>
        </w:rPr>
      </w:pPr>
      <w:bookmarkStart w:id="8" w:name="notes"/>
      <w:bookmarkEnd w:id="8"/>
      <w:r>
        <w:rPr>
          <w:rFonts w:ascii="Times New Roman" w:hAnsi="Times New Roman"/>
          <w:b/>
          <w:color w:val="000000"/>
          <w:sz w:val="20"/>
        </w:rPr>
        <w:t>1. Organization and Description of Business</w:t>
      </w:r>
    </w:p>
    <w:p>
      <w:pPr>
        <w:pStyle w:val="TextBody"/>
        <w:bidi w:val="0"/>
        <w:jc w:val="both"/>
        <w:rPr>
          <w:rFonts w:ascii="Times New Roman" w:hAnsi="Times New Roman"/>
          <w:b/>
          <w:color w:val="000000"/>
          <w:sz w:val="20"/>
        </w:rPr>
      </w:pPr>
      <w:r>
        <w:rPr>
          <w:rFonts w:ascii="Times New Roman" w:hAnsi="Times New Roman"/>
          <w:b/>
          <w:color w:val="000000"/>
          <w:sz w:val="20"/>
        </w:rPr>
        <w:t>Business Operations</w:t>
      </w:r>
    </w:p>
    <w:p>
      <w:pPr>
        <w:pStyle w:val="TextBody"/>
        <w:bidi w:val="0"/>
        <w:spacing w:before="120" w:after="158"/>
        <w:jc w:val="both"/>
        <w:rPr>
          <w:rFonts w:ascii="Times New Roman" w:hAnsi="Times New Roman"/>
          <w:color w:val="000000"/>
          <w:sz w:val="20"/>
        </w:rPr>
      </w:pPr>
      <w:r>
        <w:rPr>
          <w:rFonts w:ascii="Times New Roman" w:hAnsi="Times New Roman"/>
          <w:color w:val="000000"/>
          <w:sz w:val="20"/>
        </w:rPr>
        <w:t>Cardinal Infrastructure Group Inc. (“PubCo,” the “Company,” or “Cardinal Group”) is a Delaware corporation formed on June 12, 2025, for the purpose of facilitating an initial public offering (the “IPO”) and related organizational transactions in order to acquire an investment in Cardinal Civil Contracting Holdings LLC (“Cardinal” or "OpCo"). Cardinal Group is a holding company with no direct operations whose principal asset is its equity interest in Cardinal, acquired in connection with the IPO.</w:t>
      </w:r>
    </w:p>
    <w:p>
      <w:pPr>
        <w:pStyle w:val="TextBody"/>
        <w:bidi w:val="0"/>
        <w:spacing w:before="0" w:after="158"/>
        <w:jc w:val="both"/>
        <w:rPr>
          <w:rFonts w:ascii="Times New Roman" w:hAnsi="Times New Roman"/>
          <w:color w:val="000000"/>
          <w:sz w:val="20"/>
        </w:rPr>
      </w:pPr>
      <w:r>
        <w:rPr>
          <w:rFonts w:ascii="Times New Roman" w:hAnsi="Times New Roman"/>
          <w:color w:val="000000"/>
          <w:sz w:val="20"/>
        </w:rPr>
        <w:t>Cardinal is a Delaware limited liability company formed on September 16, 2025, whose primary asset is its 100% ownership interest in Cardinal Civil Contracting, LLC (“Cardinal NC”), a North Carolina limited liability company organized on January 16, 2013 that conducts all operations of the Company through its wholly owned subsidiaries.</w:t>
      </w:r>
    </w:p>
    <w:p>
      <w:pPr>
        <w:pStyle w:val="TextBody"/>
        <w:bidi w:val="0"/>
        <w:spacing w:before="0" w:after="158"/>
        <w:jc w:val="both"/>
        <w:rPr>
          <w:rFonts w:ascii="Times New Roman" w:hAnsi="Times New Roman"/>
          <w:color w:val="000000"/>
          <w:sz w:val="20"/>
        </w:rPr>
      </w:pPr>
      <w:r>
        <w:rPr>
          <w:rFonts w:ascii="Times New Roman" w:hAnsi="Times New Roman"/>
          <w:color w:val="000000"/>
          <w:sz w:val="20"/>
        </w:rPr>
        <w:t xml:space="preserve">The Company is a full-service, turnkey infrastructure services company operating in the Southeastern United States, specifically North Carolina, South Carolina and Georgia. We provide a comprehensive suite of infrastructure services to the residential, commercial, industrial, municipal, and state infrastructure markets, including wet utility installations, grading, site clearing, erosion control, drilling and blasting, paving, and related site services. </w:t>
      </w:r>
    </w:p>
    <w:p>
      <w:pPr>
        <w:pStyle w:val="TextBody"/>
        <w:bidi w:val="0"/>
        <w:jc w:val="both"/>
        <w:rPr>
          <w:rFonts w:ascii="Times New Roman" w:hAnsi="Times New Roman"/>
          <w:b/>
          <w:color w:val="000000"/>
          <w:sz w:val="20"/>
        </w:rPr>
      </w:pPr>
      <w:r>
        <w:rPr>
          <w:rFonts w:ascii="Times New Roman" w:hAnsi="Times New Roman"/>
          <w:b/>
          <w:color w:val="000000"/>
          <w:sz w:val="20"/>
        </w:rPr>
        <w:t>Up-C Structure</w:t>
      </w:r>
    </w:p>
    <w:p>
      <w:pPr>
        <w:pStyle w:val="TextBody"/>
        <w:bidi w:val="0"/>
        <w:spacing w:before="120" w:after="158"/>
        <w:jc w:val="both"/>
        <w:rPr>
          <w:rFonts w:ascii="Times New Roman" w:hAnsi="Times New Roman"/>
          <w:color w:val="000000"/>
          <w:sz w:val="20"/>
        </w:rPr>
      </w:pPr>
      <w:r>
        <w:rPr>
          <w:rFonts w:ascii="Times New Roman" w:hAnsi="Times New Roman"/>
          <w:color w:val="000000"/>
          <w:sz w:val="20"/>
        </w:rPr>
        <w:t>The Company’s organizational structure following the IPO is commonly referred to as an umbrella partnership–C corporation (“Up-C”) structure, which is often used by partnerships and limited liability companies undertaking an initial public offering. The Up-C structure allows the Continuing Equity Holders (as defined below) to retain their equity ownership in Cardinal, an entity treated as a partnership for U.S. federal income tax purposes, and to continue to realize tax benefits associated with owning interests in a flow-through entity. Investors in the Company hold their equity ownership through shares of Class A Common Stock of PubCo, a Delaware corporation subject to corporate-level taxation.</w:t>
      </w:r>
    </w:p>
    <w:p>
      <w:pPr>
        <w:pStyle w:val="TextBody"/>
        <w:bidi w:val="0"/>
        <w:spacing w:before="0" w:after="158"/>
        <w:jc w:val="both"/>
        <w:rPr>
          <w:rFonts w:ascii="Times New Roman" w:hAnsi="Times New Roman"/>
          <w:color w:val="000000"/>
          <w:sz w:val="20"/>
        </w:rPr>
      </w:pPr>
      <w:r>
        <w:rPr>
          <w:rFonts w:ascii="Times New Roman" w:hAnsi="Times New Roman"/>
          <w:color w:val="000000"/>
          <w:sz w:val="20"/>
        </w:rPr>
        <w:t>As the sole managing member of Cardinal, the Company operates and controls all of the business and affairs of Cardinal and, through Cardinal and its subsidiaries, conducts all of the Company’s business. Accordingly, the Company consolidates the financial results of Cardinal and reports the economic interests in Cardinal held by the Continuing Equity Holders as noncontrolling interests in the condensed consolidated financial statements.</w:t>
      </w:r>
    </w:p>
    <w:p>
      <w:pPr>
        <w:pStyle w:val="TextBody"/>
        <w:bidi w:val="0"/>
        <w:spacing w:before="0" w:after="158"/>
        <w:jc w:val="both"/>
        <w:rPr>
          <w:rFonts w:ascii="Times New Roman" w:hAnsi="Times New Roman"/>
          <w:b/>
          <w:color w:val="000000"/>
          <w:sz w:val="20"/>
        </w:rPr>
      </w:pPr>
      <w:r>
        <w:rPr>
          <w:rFonts w:ascii="Times New Roman" w:hAnsi="Times New Roman"/>
          <w:b/>
          <w:color w:val="000000"/>
          <w:sz w:val="20"/>
        </w:rPr>
        <w:t>Initial Public Offering</w:t>
      </w:r>
    </w:p>
    <w:p>
      <w:pPr>
        <w:pStyle w:val="TextBody"/>
        <w:bidi w:val="0"/>
        <w:spacing w:before="0" w:after="158"/>
        <w:jc w:val="both"/>
        <w:rPr>
          <w:rFonts w:ascii="Times New Roman" w:hAnsi="Times New Roman"/>
          <w:color w:val="000000"/>
          <w:sz w:val="20"/>
        </w:rPr>
      </w:pPr>
      <w:r>
        <w:rPr>
          <w:rFonts w:ascii="Times New Roman" w:hAnsi="Times New Roman"/>
          <w:color w:val="000000"/>
          <w:sz w:val="20"/>
        </w:rPr>
        <w:t>On December 11, 2025, the Company completed its IPO of 11,500,000 shares of Class A Common Stock, par value $0.0001 per share, at a price to the public of $21.00 per share. On December 12, 2025, pursuant to the exercise in full of the underwriters’ option to purchase additional shares, the Company completed the sale of an additional 1,725,000 shares of Class A Common Stock at the IPO price. Gross proceeds from the IPO, including the overallotment, were approximately $277.7 million before deducting underwriting discounts and other offering costs.</w:t>
      </w:r>
    </w:p>
    <w:p>
      <w:pPr>
        <w:pStyle w:val="TextBody"/>
        <w:bidi w:val="0"/>
        <w:spacing w:before="0" w:after="158"/>
        <w:jc w:val="both"/>
        <w:rPr>
          <w:rFonts w:ascii="Times New Roman" w:hAnsi="Times New Roman"/>
          <w:color w:val="000000"/>
          <w:sz w:val="20"/>
        </w:rPr>
      </w:pPr>
      <w:r>
        <w:rPr>
          <w:rFonts w:ascii="Times New Roman" w:hAnsi="Times New Roman"/>
          <w:color w:val="000000"/>
          <w:sz w:val="20"/>
        </w:rPr>
        <w:t>The Company used the net proceeds from the IPO to purchase 14,943,750 newly issued LLC units from Cardinal for net payment of approximately $252.3 million in the aggregate and became the sole managing member of Cardinal. Cardinal in turn used $157.5 million of the net proceeds to exchange and redeem 7,500,000 LLC units of Cardinal from certain equity holders of Cardinal (the “Continuing Equity Holders”) and repay approximately $24.3 million of borrowings outstanding under its October 2025 Credit Facility (as defined below). In connection with the IPO, the Company also issued 23,387,813 shares of Class B Common Stock to the Continuing Equity Holders, which was equal to the number of LLC units held by such Continuing Equity Holders at the time of issuance, for nominal consideration.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Reorganization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IPO, all of the Company’s business was conducted through Cardinal NC. In connection with the IPO, the Company completed a series of organizational transactions (the “Reorganization Transactions”) to reorganize its corporate structure. The IPO and the Reorganization Transactions are collectively referred to herein as the “Transactions.” The Reorganization Transactions consisted of two discrete transactions, the “September 2025 Reorganization” and the “IPO Reorganization,” which are each described below.</w:t>
      </w:r>
    </w:p>
    <w:p>
      <w:pPr>
        <w:pStyle w:val="TextBody"/>
        <w:bidi w:val="0"/>
        <w:spacing w:before="202" w:after="115"/>
        <w:jc w:val="left"/>
        <w:rPr>
          <w:rFonts w:ascii="Times New Roman" w:hAnsi="Times New Roman"/>
          <w:i/>
          <w:color w:val="000000"/>
          <w:sz w:val="20"/>
        </w:rPr>
      </w:pPr>
      <w:r>
        <w:rPr>
          <w:rFonts w:ascii="Times New Roman" w:hAnsi="Times New Roman"/>
          <w:i/>
          <w:color w:val="000000"/>
          <w:sz w:val="20"/>
        </w:rPr>
        <w:t>September 2025 Reorganization</w:t>
      </w:r>
    </w:p>
    <w:p>
      <w:pPr>
        <w:pStyle w:val="TextBody"/>
        <w:bidi w:val="0"/>
        <w:spacing w:before="5" w:after="115"/>
        <w:jc w:val="both"/>
        <w:rPr>
          <w:rFonts w:ascii="Times New Roman" w:hAnsi="Times New Roman"/>
          <w:color w:val="000000"/>
          <w:sz w:val="20"/>
        </w:rPr>
      </w:pPr>
      <w:r>
        <w:rPr>
          <w:rFonts w:ascii="Times New Roman" w:hAnsi="Times New Roman"/>
          <w:color w:val="000000"/>
          <w:sz w:val="20"/>
        </w:rPr>
        <w:t xml:space="preserve">Effective September 30, 2025, the Company completed the first step of the Reorganization Transactions (the “September 2025 Reorganization”). The Company merged newly formed merger subsidiaries of Cardinal NC with and into each of Cardinal NC’s non-wholly owned subsidiaries so that the minority equity holders of such non-wholly owned subsidiaries became equity holders of Cardinal and such non-wholly owned subsidiaries became wholly owned subsidiaries of Cardinal NC. Subsequently,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15"/>
        <w:jc w:val="both"/>
        <w:rPr>
          <w:rFonts w:ascii="Times New Roman" w:hAnsi="Times New Roman"/>
          <w:color w:val="000000"/>
          <w:sz w:val="20"/>
        </w:rPr>
      </w:pPr>
      <w:r>
        <w:rPr>
          <w:rFonts w:ascii="Times New Roman" w:hAnsi="Times New Roman"/>
          <w:color w:val="000000"/>
          <w:sz w:val="20"/>
        </w:rPr>
        <w:t>a newly formed merger subsidiary of Cardinal was merged with and into Cardinal NC so that the members of Cardinal NC became members of Cardinal and Cardinal NC became a wholly owned subsidiary of Cardinal.</w:t>
      </w:r>
    </w:p>
    <w:p>
      <w:pPr>
        <w:pStyle w:val="TextBody"/>
        <w:bidi w:val="0"/>
        <w:spacing w:before="5" w:after="115"/>
        <w:jc w:val="both"/>
        <w:rPr>
          <w:rFonts w:ascii="Times New Roman" w:hAnsi="Times New Roman"/>
          <w:color w:val="000000"/>
          <w:sz w:val="20"/>
        </w:rPr>
      </w:pPr>
      <w:r>
        <w:rPr>
          <w:rFonts w:ascii="Times New Roman" w:hAnsi="Times New Roman"/>
          <w:color w:val="000000"/>
          <w:sz w:val="20"/>
        </w:rPr>
        <w:t>As a result of the September 2025 Reorganization, the existing ownership interests of Cardinal NC were recapitalized from multiple classes (Class A, B and C units) into a single common class of LLC units. The minority equity holders of the non-wholly owned subsidiaries received newly issued LLC units in Cardinal in exchange for their subsidiary-level interests, which were cancelled. In the accompanying consolidated statement of changes in equity, the September 2025 Reorganization is reflected as: (i) the reclassification of the carrying amounts of previously reported noncontrolling interests in subsidiaries to members’ equity, and (ii) the recapitalization of the existing unit classes into a single class of LLC units, with no change in the total carrying amount of equity.</w:t>
      </w:r>
    </w:p>
    <w:p>
      <w:pPr>
        <w:pStyle w:val="TextBody"/>
        <w:bidi w:val="0"/>
        <w:spacing w:before="87" w:after="115"/>
        <w:jc w:val="left"/>
        <w:rPr>
          <w:rFonts w:ascii="Times New Roman" w:hAnsi="Times New Roman"/>
          <w:i/>
          <w:color w:val="000000"/>
          <w:sz w:val="20"/>
        </w:rPr>
      </w:pPr>
      <w:r>
        <w:rPr>
          <w:rFonts w:ascii="Times New Roman" w:hAnsi="Times New Roman"/>
          <w:i/>
          <w:color w:val="000000"/>
          <w:sz w:val="20"/>
        </w:rPr>
        <w:t>IPO Reorganization</w:t>
      </w:r>
    </w:p>
    <w:p>
      <w:pPr>
        <w:pStyle w:val="TextBody"/>
        <w:bidi w:val="0"/>
        <w:spacing w:before="5" w:after="115"/>
        <w:jc w:val="both"/>
        <w:rPr>
          <w:rFonts w:ascii="Times New Roman" w:hAnsi="Times New Roman"/>
          <w:color w:val="000000"/>
          <w:sz w:val="20"/>
        </w:rPr>
      </w:pPr>
      <w:r>
        <w:rPr>
          <w:rFonts w:ascii="Times New Roman" w:hAnsi="Times New Roman"/>
          <w:color w:val="000000"/>
          <w:sz w:val="20"/>
        </w:rPr>
        <w:t>On December 10, 2025, immediately prior to and in connection with the closing of the IPO, the Company completed the second step of the Reorganization Transactions (the “IPO Reorganization”). The IPO Reorganization consisted of the following:</w:t>
      </w:r>
    </w:p>
    <w:p>
      <w:pPr>
        <w:pStyle w:val="TextBody"/>
        <w:bidi w:val="0"/>
        <w:spacing w:before="5" w:after="283"/>
        <w:jc w:val="both"/>
        <w:rPr>
          <w:color w:val="000000"/>
        </w:rPr>
      </w:pPr>
      <w:r>
        <w:rPr>
          <w:color w:val="000000"/>
        </w:rPr>
        <w:t>•</w:t>
      </w:r>
    </w:p>
    <w:p>
      <w:pPr>
        <w:pStyle w:val="TextBody"/>
        <w:bidi w:val="0"/>
        <w:spacing w:before="5" w:after="283"/>
        <w:jc w:val="both"/>
        <w:rPr>
          <w:rFonts w:ascii="Times New Roman" w:hAnsi="Times New Roman"/>
          <w:color w:val="000000"/>
          <w:sz w:val="20"/>
        </w:rPr>
      </w:pPr>
      <w:r>
        <w:rPr>
          <w:rFonts w:ascii="Times New Roman" w:hAnsi="Times New Roman"/>
          <w:color w:val="000000"/>
          <w:sz w:val="20"/>
        </w:rPr>
        <w:t>The Company amended and restated the Cardinal operating agreement to, among other things, (i) recapitalize all existing ownership interests, (ii) appoint Cardinal Infrastructure Group Inc. as the sole managing member of Cardinal upon its acquisition of LLC units in connection with the IPO, and (iii) provide certain redemption rights to the Continuing Equity Holders.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Cardinal Infrastructure Group Inc.</w:t>
      </w:r>
      <w:r>
        <w:rPr>
          <w:color w:val="000000"/>
        </w:rPr>
        <w:t xml:space="preserve"> </w:t>
      </w:r>
      <w:r>
        <w:rPr>
          <w:rFonts w:ascii="Times New Roman" w:hAnsi="Times New Roman"/>
          <w:color w:val="000000"/>
          <w:sz w:val="20"/>
        </w:rPr>
        <w:t>amended and restated its certificate of incorporation to, among other things, (i) reclassify all outstanding shares of common stock into 1,718,750</w:t>
      </w:r>
      <w:r>
        <w:rPr>
          <w:color w:val="000000"/>
        </w:rPr>
        <w:t xml:space="preserve"> </w:t>
      </w:r>
      <w:r>
        <w:rPr>
          <w:rFonts w:ascii="Times New Roman" w:hAnsi="Times New Roman"/>
          <w:color w:val="000000"/>
          <w:sz w:val="20"/>
        </w:rPr>
        <w:t>shares of Class A Common Stock, as adjusted for an approximately 86-to-one forward stock split, (ii) provide for Class A Common Stock and Class B Common Stock, each entitling the holder to one vote per share on all matters presented to stockholders, (iii) provide that shares of Class B Common Stock may only be held by the Continuing Equity Holders and their permitted transferees, and (iv) authorize 10,000,000</w:t>
      </w:r>
      <w:r>
        <w:rPr>
          <w:color w:val="000000"/>
        </w:rPr>
        <w:t xml:space="preserve"> </w:t>
      </w:r>
      <w:r>
        <w:rPr>
          <w:rFonts w:ascii="Times New Roman" w:hAnsi="Times New Roman"/>
          <w:color w:val="000000"/>
          <w:sz w:val="20"/>
        </w:rPr>
        <w:t>shares of preferred stock, par value $0.0001</w:t>
      </w:r>
      <w:r>
        <w:rPr>
          <w:color w:val="000000"/>
        </w:rPr>
        <w:t xml:space="preserve"> </w:t>
      </w:r>
      <w:r>
        <w:rPr>
          <w:rFonts w:ascii="Times New Roman" w:hAnsi="Times New Roman"/>
          <w:color w:val="000000"/>
          <w:sz w:val="20"/>
        </w:rPr>
        <w:t>per share, issuable by the Board of Directors in one or more series without stockholder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Cardinal Infrastructure Group Inc. acquired newly issued LLC units from Cardinal using the net proceeds of the IPO and became the sole managing member of Cardinal.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Cardinal Infrastructure Group Inc. issued 23,387,813</w:t>
      </w:r>
      <w:r>
        <w:rPr>
          <w:color w:val="000000"/>
        </w:rPr>
        <w:t xml:space="preserve"> </w:t>
      </w:r>
      <w:r>
        <w:rPr>
          <w:rFonts w:ascii="Times New Roman" w:hAnsi="Times New Roman"/>
          <w:color w:val="000000"/>
          <w:sz w:val="20"/>
        </w:rPr>
        <w:t>shares of Class B Common Stock to the Continuing Equity Holders, on a one-for-one basis with their LLC units, for nominal consideration.</w:t>
      </w:r>
    </w:p>
    <w:p>
      <w:pPr>
        <w:pStyle w:val="TextBody"/>
        <w:bidi w:val="0"/>
        <w:jc w:val="both"/>
        <w:rPr/>
      </w:pPr>
      <w:r>
        <w:rPr/>
        <w:t> </w:t>
      </w:r>
    </w:p>
    <w:p>
      <w:pPr>
        <w:pStyle w:val="TextBody"/>
        <w:bidi w:val="0"/>
        <w:spacing w:before="120" w:after="115"/>
        <w:jc w:val="both"/>
        <w:rPr>
          <w:rFonts w:ascii="Times New Roman" w:hAnsi="Times New Roman"/>
          <w:color w:val="000000"/>
          <w:sz w:val="20"/>
        </w:rPr>
      </w:pPr>
      <w:r>
        <w:rPr>
          <w:rFonts w:ascii="Times New Roman" w:hAnsi="Times New Roman"/>
          <w:color w:val="000000"/>
          <w:sz w:val="20"/>
        </w:rPr>
        <w:t>In the accompanying condensed consolidated statements of changes in stockholders'/members' equity, the IPO Reorganization is reflected as: (i) the conversion of members’ equity to the recapitalized equity structure of Cardinal Infrastructure Group Inc. (Class A Common Stock, Class B Common Stock, and additional paid-in capital), (ii) the receipt of net IPO proceeds in exchange for newly issued LLC units, (iii) the recognition of noncontrolling interests representing the Continuing Equity Holders’ 61.0% economic interest in Cardinal, and (iv) the establishment of Cardinal Infrastructure Group Inc. as a reporting entity with the accompanying reclassification of the predecessor equity accounts.</w:t>
      </w:r>
    </w:p>
    <w:p>
      <w:pPr>
        <w:pStyle w:val="TextBody"/>
        <w:bidi w:val="0"/>
        <w:spacing w:before="5" w:after="115"/>
        <w:jc w:val="both"/>
        <w:rPr>
          <w:rFonts w:ascii="Times New Roman" w:hAnsi="Times New Roman"/>
          <w:color w:val="000000"/>
          <w:sz w:val="20"/>
        </w:rPr>
      </w:pPr>
      <w:r>
        <w:rPr>
          <w:rFonts w:ascii="Times New Roman" w:hAnsi="Times New Roman"/>
          <w:color w:val="000000"/>
          <w:sz w:val="20"/>
        </w:rPr>
        <w:t>Both the September 2025 Reorganization and the IPO Reorganization are accounted for as transactions among entities under common control. As Cardinal Infrastructure Group Inc. had no substantive operations prior to the IPO and the Continuing Equity Holders retained their majority economic interest (61.0%) in Cardinal, the Transactions are treated as a recapitalization rather than a business combination.</w:t>
      </w:r>
    </w:p>
    <w:p>
      <w:pPr>
        <w:pStyle w:val="TextBody"/>
        <w:bidi w:val="0"/>
        <w:spacing w:before="5" w:after="115"/>
        <w:jc w:val="both"/>
        <w:rPr>
          <w:rFonts w:ascii="Times New Roman" w:hAnsi="Times New Roman"/>
          <w:color w:val="000000"/>
          <w:sz w:val="20"/>
        </w:rPr>
      </w:pPr>
      <w:r>
        <w:rPr>
          <w:rFonts w:ascii="Times New Roman" w:hAnsi="Times New Roman"/>
          <w:color w:val="000000"/>
          <w:sz w:val="20"/>
        </w:rPr>
        <w:t>The September 2025 Reorganization, in which the pre-existing minority equity holders of Cardinal NC’s non-wholly owned subsidiaries exchanged their subsidiary-level interests for LLC units of Cardinal, was accounted for as an acquisition of noncontrolling interests in accordance with Accounting Standards Codification ("ASC") 810-10-45-23, with the carrying amounts of noncontrolling interests reclassified to members’ equity with no gain or loss recognized.</w:t>
      </w:r>
    </w:p>
    <w:p>
      <w:pPr>
        <w:pStyle w:val="TextBody"/>
        <w:bidi w:val="0"/>
        <w:spacing w:before="5" w:after="158"/>
        <w:jc w:val="both"/>
        <w:rPr>
          <w:rFonts w:ascii="Times New Roman" w:hAnsi="Times New Roman"/>
          <w:color w:val="000000"/>
          <w:sz w:val="20"/>
        </w:rPr>
      </w:pPr>
      <w:r>
        <w:rPr>
          <w:rFonts w:ascii="Times New Roman" w:hAnsi="Times New Roman"/>
          <w:color w:val="000000"/>
          <w:sz w:val="20"/>
        </w:rPr>
        <w:t>The IPO Reorganization, in which Cardinal Infrastructure Group Inc. became the sole managing member of Cardinal and completed the IPO, was accounted for as a recapitalization of the predecessor operating entity. The accompanying consolidated financial statements represent a continuation of the historical financial statements of Cardinal, with the exception of the recapitalized equity structure. Comparative information for periods prior to the Transactions reflects the historical financial statements of Cardinal.</w:t>
      </w:r>
    </w:p>
    <w:p>
      <w:pPr>
        <w:pStyle w:val="TextBody"/>
        <w:bidi w:val="0"/>
        <w:spacing w:before="0" w:after="158"/>
        <w:jc w:val="both"/>
        <w:rPr>
          <w:rFonts w:ascii="Times New Roman" w:hAnsi="Times New Roman"/>
          <w:b/>
          <w:color w:val="000000"/>
          <w:sz w:val="20"/>
        </w:rPr>
      </w:pPr>
      <w:r>
        <w:rPr>
          <w:rFonts w:ascii="Times New Roman" w:hAnsi="Times New Roman"/>
          <w:b/>
          <w:color w:val="000000"/>
          <w:sz w:val="20"/>
        </w:rPr>
        <w:t>Follow-On Offering</w:t>
      </w:r>
    </w:p>
    <w:p>
      <w:pPr>
        <w:pStyle w:val="TextBody"/>
        <w:bidi w:val="0"/>
        <w:spacing w:before="0" w:after="158"/>
        <w:jc w:val="both"/>
        <w:rPr>
          <w:rFonts w:ascii="Times New Roman" w:hAnsi="Times New Roman"/>
          <w:color w:val="000000"/>
          <w:sz w:val="20"/>
        </w:rPr>
      </w:pPr>
      <w:r>
        <w:rPr>
          <w:rFonts w:ascii="Times New Roman" w:hAnsi="Times New Roman"/>
          <w:color w:val="000000"/>
          <w:sz w:val="20"/>
        </w:rPr>
        <w:t xml:space="preserve">On June 24, 2026, the Company completed an underwritten public offering of its Class A Common Stock, selling an aggregate of 4,600,000 shares (which included 600,000 shares of Class A Common Stock issued upon full exercise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58"/>
        <w:jc w:val="both"/>
        <w:rPr>
          <w:rFonts w:ascii="Times New Roman" w:hAnsi="Times New Roman"/>
          <w:color w:val="000000"/>
          <w:sz w:val="20"/>
        </w:rPr>
      </w:pPr>
      <w:r>
        <w:rPr>
          <w:rFonts w:ascii="Times New Roman" w:hAnsi="Times New Roman"/>
          <w:color w:val="000000"/>
          <w:sz w:val="20"/>
        </w:rPr>
        <w:t xml:space="preserve">underwriters’ over-allotment option), at a price of $73.00 per share resulting in net proceeds to the Company of approximately $318 million, after underwriting discount and commission and expenses. The Company has used $33 million of such net proceeds to repay borrowings outstanding under its October 2025 Credit Facility and intends to use the remaining net proceeds for general corporate purposes, which may include funding for acquisitions, working capital requirements, capital expenditures and the repayment, refinancing, redemption or repurchase of indebtedness or other securities. </w:t>
      </w:r>
    </w:p>
    <w:p>
      <w:pPr>
        <w:pStyle w:val="TextBody"/>
        <w:bidi w:val="0"/>
        <w:spacing w:before="0" w:after="158"/>
        <w:jc w:val="both"/>
        <w:rPr>
          <w:rFonts w:ascii="Times New Roman" w:hAnsi="Times New Roman"/>
          <w:b/>
          <w:color w:val="000000"/>
          <w:sz w:val="20"/>
        </w:rPr>
      </w:pPr>
      <w:r>
        <w:rPr>
          <w:rFonts w:ascii="Times New Roman" w:hAnsi="Times New Roman"/>
          <w:b/>
          <w:color w:val="000000"/>
          <w:sz w:val="20"/>
        </w:rPr>
        <w:t>Redemptions</w:t>
      </w:r>
    </w:p>
    <w:p>
      <w:pPr>
        <w:pStyle w:val="TextBody"/>
        <w:bidi w:val="0"/>
        <w:spacing w:before="0" w:after="158"/>
        <w:jc w:val="both"/>
        <w:rPr>
          <w:rFonts w:ascii="Times New Roman" w:hAnsi="Times New Roman"/>
          <w:color w:val="000000"/>
          <w:sz w:val="20"/>
        </w:rPr>
      </w:pPr>
      <w:r>
        <w:rPr>
          <w:rFonts w:ascii="Times New Roman" w:hAnsi="Times New Roman"/>
          <w:color w:val="000000"/>
          <w:sz w:val="20"/>
        </w:rPr>
        <w:t>In June 2026, owners of 339,426 shares of Class B Common Stock exercised their conversion rights for Class A Common Stock. As a result, Cardinal has increased its ownership share in OpCo to 42.63% interest, and Class B holders now own 57.37% interest.</w:t>
      </w:r>
    </w:p>
    <w:p>
      <w:pPr>
        <w:pStyle w:val="TextBody"/>
        <w:bidi w:val="0"/>
        <w:spacing w:before="202" w:after="283"/>
        <w:jc w:val="both"/>
        <w:rPr>
          <w:rFonts w:ascii="Times New Roman" w:hAnsi="Times New Roman"/>
          <w:b/>
          <w:color w:val="000000"/>
          <w:sz w:val="20"/>
        </w:rPr>
      </w:pPr>
      <w:r>
        <w:rPr>
          <w:rFonts w:ascii="Times New Roman" w:hAnsi="Times New Roman"/>
          <w:b/>
          <w:color w:val="000000"/>
          <w:sz w:val="20"/>
        </w:rPr>
        <w:t>Basis of Accounting</w:t>
      </w:r>
    </w:p>
    <w:p>
      <w:pPr>
        <w:pStyle w:val="TextBody"/>
        <w:bidi w:val="0"/>
        <w:spacing w:before="120" w:after="158"/>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in accordance with accounting principles generally accepted in the United States of America (“GAAP”). The unaudited interim condensed consolidated financial statements include the results of the Company and its wholly owned or controlled subsidiaries. All significant intercompany transactions and balances have been eliminated during consolidation. In the opinion of management, the condensed consolidated financial statements reflect all adjustments, which are necessary for the fair presentation of the financial condition, and results of operations for the interim periods presented.</w:t>
      </w:r>
    </w:p>
    <w:p>
      <w:pPr>
        <w:pStyle w:val="TextBody"/>
        <w:bidi w:val="0"/>
        <w:spacing w:before="0" w:after="158"/>
        <w:jc w:val="both"/>
        <w:rPr>
          <w:rFonts w:ascii="Times New Roman" w:hAnsi="Times New Roman"/>
          <w:color w:val="000000"/>
          <w:sz w:val="20"/>
        </w:rPr>
      </w:pPr>
      <w:r>
        <w:rPr>
          <w:rFonts w:ascii="Times New Roman" w:hAnsi="Times New Roman"/>
          <w:color w:val="000000"/>
          <w:sz w:val="20"/>
        </w:rPr>
        <w:t>The accompanying condensed consolidated financial statements were prepared in accordance with the requirements for interim financial information. Accordingly, these interim financial statements have not been audited and exclude certain disclosures required for annual financial statements. We have historically experienced, and in the future expect to continue to experience, variability in our results on a quarterly basis. Due to the seasonality of the Company's businesses, the operating results presented for interim periods are not necessarily indicative of the results that may be expected for any other interim period or for the entire year. These interim financial statements should be read in conjunction with the audited consolidated financial statements of the Company included in the Company’s Annual Report on Form 10-K for the year ended December 31, 2025.</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jc w:val="left"/>
        <w:rPr/>
      </w:pPr>
      <w:r>
        <w:rPr/>
        <w:t> </w:t>
      </w:r>
    </w:p>
    <w:p>
      <w:pPr>
        <w:pStyle w:val="TextBody"/>
        <w:bidi w:val="0"/>
        <w:spacing w:before="1" w:after="120"/>
        <w:jc w:val="both"/>
        <w:rPr>
          <w:rFonts w:ascii="Times New Roman" w:hAnsi="Times New Roman"/>
          <w:b/>
          <w:color w:val="000000"/>
          <w:sz w:val="20"/>
        </w:rPr>
      </w:pPr>
      <w:r>
        <w:rPr>
          <w:rFonts w:ascii="Times New Roman" w:hAnsi="Times New Roman"/>
          <w:b/>
          <w:color w:val="000000"/>
          <w:sz w:val="20"/>
        </w:rPr>
        <w:t>Loss Provisions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evaluates its contracts monthly for potential losses, which considers job performance, site conditions, estimated profitability, and associated claims and change orders. If total estimated costs exceed total expected revenue, the Company records a provision for the full estimated loss in the period the loss is determined. As of June 30, 2026 and December 31, 2025, the Company held an allowance for loss contracts of $11,488 and $135,647 respectively. These provisions are recorded to “Cost of revenues” on the condensed consolidated statements of operations and “Contract liabilities” on the condensed consolidated balance sheets.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Cash</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occasionally maintains deposits in excess of federally insured limits. These are identified as a concentration of credit risk requiring disclosure, regardless of the degree of risk. The risk is managed by maintaining all deposits in high quality financial institutions. The Federal Deposit Insurance Corporation insures up to $250,000 for all accounts held at a single institution. As of June 30, 2026, and December 31, 2025, the Company had not experienced any losses on these accounts. Any loss incurred or a lack of access to such funds could have a significant adverse impact on the Company's financial condition, results of operations, and cash flows.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Accounts Receivable, 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Accounts receivable primarily consist of trade receivables due from customers and are stated at the invoiced amount less an allowance for credit losses. Collectability is evaluated using a combination of factors, including past due status based on contractual terms, trends in write-offs and the age of the receivable. Specific events, such as bankruptcies, are also considered when applicable. Adjustments to the reserve for credit losses are made when necessary based on the results of analysis, the aging of receivables and historical and industry trends. The Company periodically evaluates the impact of observable external factors on the collectability of the accounts receivable to determine if adjustments to the reserve for credit losses should be made based on current conditions or reasonable and supportable forecasts. Accounts receivable are written off in the period in which the receivable is deemed uncollectible. Credit related reserves are not material. At June 30, 2026, and December 31, 2025, the Company's allowance for estimated expected credit losses was zero. The opening balance of Accounts receivable,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 w:after="120"/>
        <w:jc w:val="both"/>
        <w:rPr>
          <w:rFonts w:ascii="Times New Roman" w:hAnsi="Times New Roman"/>
          <w:color w:val="000000"/>
          <w:sz w:val="20"/>
        </w:rPr>
      </w:pPr>
      <w:r>
        <w:rPr>
          <w:rFonts w:ascii="Times New Roman" w:hAnsi="Times New Roman"/>
          <w:color w:val="000000"/>
          <w:sz w:val="20"/>
        </w:rPr>
        <w:t xml:space="preserve">net at January 1, 2025 was $38,304,817. </w:t>
      </w:r>
    </w:p>
    <w:p>
      <w:pPr>
        <w:pStyle w:val="TextBody"/>
        <w:bidi w:val="0"/>
        <w:jc w:val="left"/>
        <w:rPr>
          <w:rFonts w:ascii="Times New Roman" w:hAnsi="Times New Roman"/>
          <w:sz w:val="20"/>
        </w:rPr>
      </w:pPr>
      <w:r>
        <w:rPr>
          <w:rFonts w:ascii="Times New Roman" w:hAnsi="Times New Roman"/>
          <w:b/>
          <w:color w:val="000000"/>
          <w:sz w:val="20"/>
        </w:rPr>
        <w:t>Change in Accounting Estimate - Property and Equipment Depreciation Method</w:t>
      </w:r>
      <w:r>
        <w:rPr>
          <w:rFonts w:ascii="Times New Roman" w:hAnsi="Times New Roman"/>
          <w:color w:val="000000"/>
          <w:sz w:val="20"/>
        </w:rPr>
        <w:t xml:space="preserve"> </w:t>
      </w:r>
    </w:p>
    <w:p>
      <w:pPr>
        <w:pStyle w:val="TextBody"/>
        <w:bidi w:val="0"/>
        <w:jc w:val="left"/>
        <w:rPr/>
      </w:pPr>
      <w:r>
        <w:rPr/>
        <w:t> </w:t>
      </w:r>
    </w:p>
    <w:p>
      <w:pPr>
        <w:pStyle w:val="TextBody"/>
        <w:bidi w:val="0"/>
        <w:spacing w:before="1" w:after="120"/>
        <w:jc w:val="both"/>
        <w:rPr>
          <w:rFonts w:ascii="Times New Roman" w:hAnsi="Times New Roman"/>
          <w:color w:val="000000"/>
          <w:sz w:val="20"/>
        </w:rPr>
      </w:pPr>
      <w:r>
        <w:rPr>
          <w:rFonts w:ascii="Times New Roman" w:hAnsi="Times New Roman"/>
          <w:color w:val="000000"/>
          <w:sz w:val="20"/>
        </w:rPr>
        <w:t xml:space="preserve">During the first quarter of 2026, the Company completed a review of its accounting policy for property and equipment depreciated on an accelerated basis. As a result of this review, the Company changed its accounting method for property and equipment from the accelerated basis of depreciation to the straight-line method of depreciation, effective as of January 1, 2026. The Company believes the change from the accelerated method to the straight-line method of depreciation is preferable under U.S. GAAP as it will result in an estimate of depreciation expense which more accurately reflects the pattern of usage and the expected benefits of such assets. Additionally, the change to the straight-line method of depreciation is consistent with the depreciation method applied by other companies within the Company's industry, and improves the comparability of our results to our competitors. Our change in the method of depreciation is considered a change in accounting estimate effected by a change in accounting principle and has been applied prospectively.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the change on the three and six months ended June 30, 2026 was a decrease in depreciation expense of approximately $2,429,447 and $3,009,901, respectively, and a corresponding increase in income before income taxes of approximately $2,429,447 and $3,009,901, respectively, compared to what would have been reported under the accelerated method. The effect on net income and earnings per diluted share was approximately $2,199,621 and $0.05, respectively, for the three months ended June 30, 2026 and $2,780,075 and $0.18, respectively, for the six months ended June 30, 2026. The fixed assets will be depreciated over their estimated remaining useful lives as follows:</w:t>
      </w:r>
    </w:p>
    <w:p>
      <w:pPr>
        <w:pStyle w:val="TextBody"/>
        <w:bidi w:val="0"/>
        <w:spacing w:before="0" w:after="120"/>
        <w:jc w:val="both"/>
        <w:rPr/>
      </w:pPr>
      <w:r>
        <w:rPr/>
        <w:t> </w:t>
      </w:r>
    </w:p>
    <w:tbl>
      <w:tblPr>
        <w:tblW w:w="4093" w:type="dxa"/>
        <w:jc w:val="left"/>
        <w:tblInd w:w="0" w:type="dxa"/>
        <w:tblLayout w:type="fixed"/>
        <w:tblCellMar>
          <w:top w:w="28" w:type="dxa"/>
          <w:left w:w="28" w:type="dxa"/>
          <w:bottom w:w="28" w:type="dxa"/>
          <w:right w:w="28" w:type="dxa"/>
        </w:tblCellMar>
      </w:tblPr>
      <w:tblGrid>
        <w:gridCol w:w="2761"/>
        <w:gridCol w:w="146"/>
        <w:gridCol w:w="118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 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Useful Lives</w:t>
            </w:r>
          </w:p>
        </w:tc>
      </w:tr>
      <w:tr>
        <w:trPr/>
        <w:tc>
          <w:tcPr>
            <w:tcW w:w="27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 years</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 and trailers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7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computers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 years</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 years</w:t>
            </w:r>
          </w:p>
        </w:tc>
      </w:tr>
    </w:tbl>
    <w:p>
      <w:pPr>
        <w:pStyle w:val="TextBody"/>
        <w:bidi w:val="0"/>
        <w:jc w:val="left"/>
        <w:rPr/>
      </w:pPr>
      <w:r>
        <w:rPr/>
        <w:t> </w:t>
      </w:r>
    </w:p>
    <w:p>
      <w:pPr>
        <w:pStyle w:val="TextBody"/>
        <w:bidi w:val="0"/>
        <w:spacing w:before="1" w:after="120"/>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chief operating decision maker (“CODM”) is its Chief Executive Officer. The CODM manages the business activities on a consolidated basis and as such the Company determined it is a single reportable segment. The Company derives revenue in the United States of America from construction projects based in North Carolina, Georgia and South Carolina in 2026.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CODM primarily assesses performance for the Company and decides how to allocate resources based on net income. Net income is reported on the condensed consolidated statements of operations. Performance is continuously monitored at the consolidated level and as necessary at the project contract level to timely identify deviations from the expected results. Resource allocation is based on the CODM and Company management's estimates of growth to expand backlog and to increase production capacity to ensure timely execution of committed sales contracts. The significant expenses reviewed by the CODM, which are used to assess performance of the Company, are not disaggregated at a level lower than the captions disclosed within the condensed consolidated statements of operations.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CODM also uses net income and related profit margins in competitive analysis by benchmarking to the Company’s competitors. The competitive analysis along with the monitoring of budgeted versus actual results are used in assessing performance of the Company and in establishing management’s compensation.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measure of segment assets is reported to the CODM on the balance sheet as total consolidated assets, with the same captions as the condensed consolidated balance sheets. All of the Company's long-lived assets are based in its home country, the United States of America.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 from Customer A represented 11% and 11%, of consolidated revenue for the three months ended June 30, 2026 and 2025, respectively, and 12% and 11%, of consolidated revenue for the six months ended June 30, 2026 and 2025, respectively. Revenue from this customer was derived from multiple projects, with work performed throughout each period.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determines fair value based upon the price that would be received to sell an asset or paid to transfer a liability in an orderly transaction between market participants at the measurement date, as determined by either the principal market or the most advantageous market in which it transacts. The Company applies fair value accounting for all the financial assets and liabilities that are recognized or disclosed at fair value in the condensed consolidated financial statements on a recurring basis. The Company applies the following fair value hierarchy, which prioritizes the inputs used to measure fair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 w:after="120"/>
        <w:jc w:val="both"/>
        <w:rPr>
          <w:rFonts w:ascii="Times New Roman" w:hAnsi="Times New Roman"/>
          <w:color w:val="000000"/>
          <w:sz w:val="20"/>
        </w:rPr>
      </w:pPr>
      <w:r>
        <w:rPr>
          <w:rFonts w:ascii="Times New Roman" w:hAnsi="Times New Roman"/>
          <w:color w:val="000000"/>
          <w:sz w:val="20"/>
        </w:rPr>
        <w:t>into three levels and bases the categorization within the hierarchy upon the lowest level of input that is available and significant to the fair value measurement: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1 – Observable inputs such as unadjusted, quoted prices in active markets for identical assets or liabilities at the measurement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the fair value of the assets or liabilities. These inputs are based on the Company’s own assumptions about current market conditions and require significant management judgment or estimation.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June 30, 2026, June 30, 2025, and December 31, 2025, the carrying value of cash, accounts receivable, accounts payable, accrued liabilities, and other current assets and liabilities approximates fair value due to the short maturities of these instruments. The fair value of notes payable approximates its carrying value as the stated interest rate reflects recent market conditions for similar instruments. Certain assets, including goodwill and other long-lived assets, are also subject to measurement at fair value on a nonrecurring basis if they are deemed to be impaired as a result of an impairment review.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discussed in Note 3, the Company’s February 2026 Acquisition of ALGC resulted in the recognition of certain assets measured at fair value in accordance with ASC 820. Property, plant and equipment were valued using Level 2 inputs under the fair value hierarchy, based on observable market data for similar assets with adjustments for condition and location. The backlog intangible asset was valued using Level 3 inputs, which incorporate significant unobservable assumptions developed by management. Contingent Consideration was valued utilizing Level 3 inputs, which incorporate significant unobservable assumptions developed by management. The valuation techniques, key assumptions, and sensitivity analyses for Level 3 measurements are described in Note 3. The fair value of cash flow hedges are valued utilizing Level 2 inputs, which incorporate observable market inputs, including the SOFR forward curve. The valuation techniques, key assumptions, for Level 2 measurements are described in Note 7.</w:t>
      </w:r>
    </w:p>
    <w:tbl>
      <w:tblPr>
        <w:tblW w:w="10205" w:type="dxa"/>
        <w:jc w:val="left"/>
        <w:tblInd w:w="0" w:type="dxa"/>
        <w:tblLayout w:type="fixed"/>
        <w:tblCellMar>
          <w:top w:w="28" w:type="dxa"/>
          <w:left w:w="28" w:type="dxa"/>
          <w:bottom w:w="28" w:type="dxa"/>
          <w:right w:w="28" w:type="dxa"/>
        </w:tblCellMar>
      </w:tblPr>
      <w:tblGrid>
        <w:gridCol w:w="5270"/>
        <w:gridCol w:w="271"/>
        <w:gridCol w:w="448"/>
        <w:gridCol w:w="146"/>
        <w:gridCol w:w="211"/>
        <w:gridCol w:w="781"/>
        <w:gridCol w:w="146"/>
        <w:gridCol w:w="211"/>
        <w:gridCol w:w="1036"/>
        <w:gridCol w:w="146"/>
        <w:gridCol w:w="211"/>
        <w:gridCol w:w="1036"/>
        <w:gridCol w:w="292"/>
      </w:tblGrid>
      <w:tr>
        <w:trPr/>
        <w:tc>
          <w:tcPr>
            <w:tcW w:w="5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3" w:type="dxa"/>
            <w:gridSpan w:val="11"/>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7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Interest rate swap designated as a cash flow hedge</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115,455</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 measured at fair value</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115,455</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7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9"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Liabilities</w:t>
            </w:r>
          </w:p>
        </w:tc>
        <w:tc>
          <w:tcPr>
            <w:tcW w:w="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7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Contingent consideration — Tax Receivable Agreement (ALGC)</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5,300,000</w:t>
            </w:r>
          </w:p>
        </w:tc>
        <w:tc>
          <w:tcPr>
            <w:tcW w:w="29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Contingent consideration — Tax Benefit Agreement (ALGC)</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7,000,000</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7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liabilities measured at fair value</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12,300,000</w:t>
            </w:r>
          </w:p>
        </w:tc>
        <w:tc>
          <w:tcPr>
            <w:tcW w:w="29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 w:after="120"/>
        <w:jc w:val="both"/>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Derivatives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Derivative Financial Instruments The Company may enter into interest rate derivatives to manage exposure to interest rate risks. The Company does not use derivative financial instruments for trading or speculative purposes. The Company recognizes derivative financial instruments at fair value and presents them within other non-current assets and liabilities in the condensed consolidated balance sheets. Gains and losses from derivatives that are neither designated nor qualify as hedging instruments are recognized in earnings within Other expense, net in the condensed consolidated statements of operations. The Company held no such derivatives during the three and six months ended June 30, 2026. For derivatives that qualify as cash flow hedges, the gain or loss is reported as a component of other comprehensive income (loss) and reclassified into earnings in the periods during which the hedged forecasted transaction affects earnings. Refer to Note 7 'Notes Payable &amp; Credit Facility' for further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Cash flows for derivative financial instruments are classified as cash flows from operating activities within the condensed consolidated statements of cash flows, unless there is an other-than-insignificant financing element present at inception of the derivative financial instrument. For derivatives with an other-than-insignificant financing element at inception due to off-market terms, cash flows are classified as cash flows from investing or financing activities within the condensed consolidated statements of cash flows depending on the derivative's off-market nature at inception.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 w:after="120"/>
        <w:jc w:val="both"/>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issued equity-based awards to employees, directors and other service providers. Prior to the IPO and the Reorganization Transactions, those awards included legacy Profit Interest Units ("PIUs") and certain unrestricted legacy units issued in connection with the Company's historical LLC structure, all of which were settled in connection with the Reorganization Transactions. Awards outstanding as of June 30, 2026 consist of Restricted Stock Units ("RSUs") granted under the Company's 2025 Stock Incentive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measures and recognizes the cost of employee services received in exchange for awards of equity instruments in accordance with ASC 718, Compensation - Stock Compensation. Equity</w:t>
        <w:noBreakHyphen/>
        <w:t>classified awards are measured at grant</w:t>
        <w:noBreakHyphen/>
        <w:t>date fair value and recognized as compensation expense over the requisite service period. Liability</w:t>
        <w:noBreakHyphen/>
        <w:t>classified awards, if any, are remeasured at fair value at each reporting date until settlement. Compensation expense is recorded within General and administrative expenses in the condensed consolidated statements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Company’s historical LLC structure and the Up</w:t>
        <w:noBreakHyphen/>
        <w:t>C reorganization completed at the IPO, certain employees and service providers received unrestricted units that were fully vested upon issuance. These awards are accounted for as equity</w:t>
        <w:noBreakHyphen/>
        <w:t xml:space="preserve">classified awards. Because the units were fully vested and nonforfeitable at the grant date, the Company recognized compensation expense, if any, on the grant date. No additional compensation expense is recognized for these awards.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 upon the IPO, the Company granted RSUs to members of its Board of Directors as part of annual director compensation, with vesting terms that vary by award. In connection with the IPO, non-employee directors received two grants in lieu of a pro-rated annual cash retainer: one that vested on December 31, 2025, and one that vests on December 31, 2026. In addition, RSUs granted in lieu of the 2026 annual cash retainers vest in equal quarterly installments through December 31, 2026. These awards are accounted for under ASC 718 using the same grant</w:t>
        <w:noBreakHyphen/>
        <w:t>date fair value measurement and recognition principles as employee awards. For awards with graded-vesting features and only service conditions the Company attributes expenses using the straight-line method.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elected to account for forfeitures as they occur for all its equity-based awards and therefore does not estimate expected forfeitures when measuring stock</w:t>
        <w:noBreakHyphen/>
        <w:t xml:space="preserve">based compensation expense.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Grant</w:t>
        <w:noBreakHyphen/>
        <w:t>date fair value for RSUs is based on the market price of the Company’s Class A common stock on the date of grant.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Class A Common Stock issued as consideration in a business combination is valued at the closing share price on the acquisition date. Shares issued at the direction of selling shareholders to settle existing arrangements with the recipients are treated as consideration transferred rather than post-combination compensation expense. Refer to Note 3 and Note 11.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equity</w:t>
        <w:noBreakHyphen/>
        <w:t>classified awards, deferred tax assets are recognized for deductible temporary differences arising from stock</w:t>
        <w:noBreakHyphen/>
        <w:t xml:space="preserve">based compensation and are reduced by a valuation allowance if it is more likely than not that the deferred tax assets will not be realized. Excess tax benefits or deficiencies, if any, are recognized in income tax expense in the period in which they occur.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Other Accounting Policies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See the Company's Annual Report on Form 10-K for the year ended December 31, 2025 (the “2025 Form 10-K”) for a description of other accounting principles upon which basis the accompanying condensed consolidated financial statements were prepared.</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July 2025, the Financial Accounting Standards Board ("FASB") issued Accounting Standards Update ("ASU") 2025</w:t>
        <w:noBreakHyphen/>
        <w:t>05 “Financial Instruments – Credit Losses (Topic 326): Measurement of Credit Losses for Accounts Receivable and Contract Assets”, which provides a practical expedient for measuring expected credit losses on certain short</w:t>
        <w:noBreakHyphen/>
        <w:t>term receivables and contract assets when credit losses are expected to be insignificant. The amendments are intended to simplify application of Topic 326 for entities with immaterial credit risk exposure on these balances. ASU 2025</w:t>
        <w:noBreakHyphen/>
        <w:t>05 is effective for fiscal years, including interim periods, beginning after December 15, 2025. As early adoption is permitted, the Company has adopted this standard. There is no material impact on the condensed consolidated financial statements.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October 2023, the FASB issued ASU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and is not expected to have a material impact on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 w:after="120"/>
        <w:jc w:val="both"/>
        <w:rPr>
          <w:rFonts w:ascii="Times New Roman" w:hAnsi="Times New Roman"/>
          <w:color w:val="000000"/>
          <w:sz w:val="20"/>
        </w:rPr>
      </w:pPr>
      <w:r>
        <w:rPr>
          <w:rFonts w:ascii="Times New Roman" w:hAnsi="Times New Roman"/>
          <w:color w:val="000000"/>
          <w:sz w:val="20"/>
        </w:rPr>
        <w:t>condensed consolidated financial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November 2024, the FASB issued ASU 2024-03 as an update to ASC Topic 220-40, which will be effective for fiscal years beginning after December 15, 2026 and interim periods beginning after December 15, 2027. Early adoption is permitted. ASU 2024-03 was issued to improve the disclosures about a public business entity's expenses and address requests from investors for more disaggregated disclosures about the types of expenses (including employee compensation, depreciation, and amortization) in commonly presented expense captions (such as general and administrative expenses). In January 2025, the FASB issued ASU 2025</w:t>
        <w:noBreakHyphen/>
        <w:t>01 “Income Statement – Reporting Comprehensive Income – Expense Disaggregation Disclosures (Subtopic 220-40): Clarifying the Effective Date” to clarify the effective date provisions of ASU 2024</w:t>
        <w:noBreakHyphen/>
        <w:t>03 related to expense disaggregation disclosures. The Company is currently evaluating the impact of ASU 2024-03 on its condensed consolidated financial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May 2025, the FASB issued ASU 2025</w:t>
        <w:noBreakHyphen/>
        <w:t>04 “Compensation – Stock Compensation (Topic 718) and Revenue from Contracts with Customers (Topic 606): Clarifications to Share-Based Consideration Payable to a Customer”, which clarifies the accounting for share</w:t>
        <w:noBreakHyphen/>
        <w:t>based consideration payable to a customer, including classification and measurement guidance, to reduce diversity in practice. The amendments are effective for fiscal years, including interim periods, beginning after December 15, 2026, with early adoption permitted. The Company is currently assessing the impact of adopting ASU 2025</w:t>
        <w:noBreakHyphen/>
        <w:t xml:space="preserve">04 on its condensed consolidated financial statements but does not expect a material impact.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November 2025, the FASB issued ASU 2025</w:t>
        <w:noBreakHyphen/>
        <w:t>09, "Derivatives and Hedging (Topic 815): Hedge Accounting Improvements". The amendments provide targeted improvements intended to better align hedge accounting with entities’ risk</w:t>
        <w:noBreakHyphen/>
        <w:t>management activities, including expanded eligibility for grouping forecasted transactions with similar risk exposures, clarified guidance for hedging forecasted interest payments on choose</w:t>
        <w:noBreakHyphen/>
        <w:t>your</w:t>
        <w:noBreakHyphen/>
        <w:t>rate variable</w:t>
        <w:noBreakHyphen/>
        <w:t>rate debt, expanded component hedging for nonfinancial items, conditions under which a net written option may qualify as a hedging instrument, and the ability to designate foreign</w:t>
        <w:noBreakHyphen/>
        <w:t>currency</w:t>
        <w:noBreakHyphen/>
        <w:t>denominated debt simultaneously as both a hedging instrument and a hedged item. ASU 2025</w:t>
        <w:noBreakHyphen/>
        <w:t>09 is effective for fiscal years beginning after December 15, 2026, including interim periods within those fiscal years. Early adoption is permitted. The Company is currently evaluating the impact of ASU 2025</w:t>
        <w:noBreakHyphen/>
        <w:t>09 on its condensed consolidated financial statements and related disclosures.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December 2025, the FASB issued ASU 2025</w:t>
        <w:noBreakHyphen/>
        <w:t>11, "Interim Reporting (Topic 270): Narrow</w:t>
        <w:noBreakHyphen/>
        <w:t>Scope Improvements". The amendments clarify the applicability of the interim reporting guidance in Topic 270, improve the navigability of the interim reporting requirements, and provide a more comprehensive framework for interim disclosures, including a principle that entities disclose events and changes since the last annual reporting period that have a material effect on the entity. ASU 2025</w:t>
        <w:noBreakHyphen/>
        <w:t>11 is effective for public business entities for interim reporting periods within annual reporting periods beginning after December 15, 2027, and for all other entities for interim reporting periods within annual reporting periods beginning after December 15, 2028. Early adoption is permitted. The Company is currently evaluating the impact of ASU 2025</w:t>
        <w:noBreakHyphen/>
        <w:t xml:space="preserve">11 on its interim financial statements and related disclosures.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 Business Combinations</w:t>
      </w:r>
    </w:p>
    <w:p>
      <w:pPr>
        <w:pStyle w:val="TextBody"/>
        <w:bidi w:val="0"/>
        <w:jc w:val="left"/>
        <w:rPr/>
      </w:pPr>
      <w:r>
        <w:rPr/>
        <w:t> </w:t>
      </w:r>
    </w:p>
    <w:p>
      <w:pPr>
        <w:pStyle w:val="TextBody"/>
        <w:bidi w:val="0"/>
        <w:spacing w:before="1" w:after="120"/>
        <w:jc w:val="both"/>
        <w:rPr>
          <w:rFonts w:ascii="Times New Roman" w:hAnsi="Times New Roman"/>
          <w:color w:val="000000"/>
          <w:sz w:val="20"/>
        </w:rPr>
      </w:pPr>
      <w:r>
        <w:rPr>
          <w:rFonts w:ascii="Times New Roman" w:hAnsi="Times New Roman"/>
          <w:color w:val="000000"/>
          <w:sz w:val="20"/>
        </w:rPr>
        <w:t>During the year ended December 31, 2025, the Company completed acquisitions of Purcell Construction, Inc. (“Purcell”) on January 3, 2025, Page &amp; Associates, Inc. (“Page”) on May 30, 2025, and Red Clay Industries, Inc. (“Red Clay”) on October 1, 2025. Refer to Note 3 'Business Combinations' of the Company's 2025 Form 10-K for further information.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Acquisition of Piedmont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May 29, 2026, a subsidiary of the Company, Cardinal Civil Contracting Charlotte, LLC, acquired substantially all of the operating assets and certain liabilities of Piedmont Pipe Construction, Inc., a North Carolina corporation ("Piedmont"). Piedmont provides water systems, sewage, and storm drain work for residential, commercial, and industrial projects across North Carolina and South Carolina.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acquisition was accounted for as a business combination under ASC 805, Business Combinations. The purchase price allocation recognized as of the Piedmont acquisition date was preliminary and is based on provisional estimates of the fair values of the assets acquired and liabilities assumed. </w:t>
      </w:r>
    </w:p>
    <w:p>
      <w:pPr>
        <w:pStyle w:val="TextBody"/>
        <w:bidi w:val="0"/>
        <w:jc w:val="left"/>
        <w:rPr/>
      </w:pPr>
      <w:r>
        <w:rPr/>
        <w:t> </w:t>
      </w:r>
    </w:p>
    <w:p>
      <w:pPr>
        <w:pStyle w:val="TextBody"/>
        <w:bidi w:val="0"/>
        <w:spacing w:before="1" w:after="120"/>
        <w:jc w:val="both"/>
        <w:rPr>
          <w:rFonts w:ascii="Times New Roman" w:hAnsi="Times New Roman"/>
          <w:color w:val="000000"/>
          <w:sz w:val="20"/>
        </w:rPr>
      </w:pPr>
      <w:r>
        <w:rPr>
          <w:rFonts w:ascii="Times New Roman" w:hAnsi="Times New Roman"/>
          <w:color w:val="000000"/>
          <w:sz w:val="20"/>
        </w:rPr>
        <w:t xml:space="preserve">Total purchase consideration was as follows: </w:t>
      </w:r>
    </w:p>
    <w:p>
      <w:pPr>
        <w:pStyle w:val="TextBody"/>
        <w:bidi w:val="0"/>
        <w:spacing w:before="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5734" w:type="dxa"/>
        <w:jc w:val="left"/>
        <w:tblInd w:w="0" w:type="dxa"/>
        <w:tblLayout w:type="fixed"/>
        <w:tblCellMar>
          <w:top w:w="28" w:type="dxa"/>
          <w:left w:w="28" w:type="dxa"/>
          <w:bottom w:w="28" w:type="dxa"/>
          <w:right w:w="28" w:type="dxa"/>
        </w:tblCellMar>
      </w:tblPr>
      <w:tblGrid>
        <w:gridCol w:w="4381"/>
        <w:gridCol w:w="211"/>
        <w:gridCol w:w="931"/>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Purchase Consideration</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consideration</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net working capital adjustment receivable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(753,943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transferred</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8,346,057</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 w:after="120"/>
        <w:jc w:val="both"/>
        <w:rPr>
          <w:rFonts w:ascii="Times New Roman" w:hAnsi="Times New Roman"/>
          <w:color w:val="000000"/>
          <w:sz w:val="20"/>
        </w:rPr>
      </w:pPr>
      <w:r>
        <w:rPr>
          <w:rFonts w:ascii="Times New Roman" w:hAnsi="Times New Roman"/>
          <w:color w:val="000000"/>
          <w:sz w:val="20"/>
        </w:rPr>
        <w:t>The following table summarizes the fair values of the assets acquired and liabilities assumed:</w:t>
      </w:r>
    </w:p>
    <w:tbl>
      <w:tblPr>
        <w:tblW w:w="4854" w:type="dxa"/>
        <w:jc w:val="left"/>
        <w:tblInd w:w="0" w:type="dxa"/>
        <w:tblLayout w:type="fixed"/>
        <w:tblCellMar>
          <w:top w:w="28" w:type="dxa"/>
          <w:left w:w="28" w:type="dxa"/>
          <w:bottom w:w="28" w:type="dxa"/>
          <w:right w:w="28" w:type="dxa"/>
        </w:tblCellMar>
      </w:tblPr>
      <w:tblGrid>
        <w:gridCol w:w="3421"/>
        <w:gridCol w:w="211"/>
        <w:gridCol w:w="931"/>
        <w:gridCol w:w="291"/>
      </w:tblGrid>
      <w:tr>
        <w:trPr/>
        <w:tc>
          <w:tcPr>
            <w:tcW w:w="3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Preliminary Purchase Price Allocation</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1,820,840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3,515,550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2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520,000</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Backlog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 names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416,000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2,171,163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(191,496</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assets acquired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8,346,057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 w:after="120"/>
        <w:jc w:val="both"/>
        <w:rPr>
          <w:rFonts w:ascii="Times New Roman" w:hAnsi="Times New Roman"/>
          <w:color w:val="000000"/>
          <w:sz w:val="20"/>
        </w:rPr>
      </w:pPr>
      <w:r>
        <w:rPr>
          <w:rFonts w:ascii="Times New Roman" w:hAnsi="Times New Roman"/>
          <w:color w:val="000000"/>
          <w:sz w:val="20"/>
        </w:rPr>
        <w:t xml:space="preserve">The fair value of the receivables acquired approximated their gross contractual amounts. The Company's best estimate at the acquisition date of contractual cash flows not expected to be collected was zero, as the Company expects to collect all amounts due.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excess of purchase consideration over the fair value of net assets acquired was recorded as goodwill. The goodwill recognized is attributable to qualitative factors such as anticipated cost synergies and future growth in the combined business, as well as the value of the assembled workforce acquired. Goodwill recognized in the acquisition is expected to be deductible for U.S. federal income tax purposes and amortized over 15 years.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acquisition of Piedmont, the Company entered into a Transition Services Agreement ("TSA") with the seller to provide limited post-closing support, including general contracting and licensing services, business transition activities such as employee and customer introductions, and equipment identification. The TSA was accounted as part of the consideration transferred in the acquisition and recorded within goodwill in the purchase price allocation. Accordingly, no related party expense will be recognized in future periods.</w:t>
      </w:r>
    </w:p>
    <w:p>
      <w:pPr>
        <w:pStyle w:val="TextBody"/>
        <w:bidi w:val="0"/>
        <w:jc w:val="left"/>
        <w:rPr/>
      </w:pPr>
      <w:r>
        <w:rPr/>
        <w:t> </w:t>
      </w:r>
    </w:p>
    <w:p>
      <w:pPr>
        <w:pStyle w:val="TextBody"/>
        <w:bidi w:val="0"/>
        <w:spacing w:before="1" w:after="120"/>
        <w:jc w:val="both"/>
        <w:rPr>
          <w:rFonts w:ascii="Times New Roman" w:hAnsi="Times New Roman"/>
          <w:b/>
          <w:color w:val="000000"/>
          <w:sz w:val="20"/>
        </w:rPr>
      </w:pPr>
      <w:r>
        <w:rPr>
          <w:rFonts w:ascii="Times New Roman" w:hAnsi="Times New Roman"/>
          <w:b/>
          <w:color w:val="000000"/>
          <w:sz w:val="20"/>
        </w:rPr>
        <w:t>Acquisition of ALGC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February 18, 2026 (the "Acquisition Date"), Cardinal Civil Contracting Holdings, LLC, acquired 100% of the membership interests of A.L. Grading Contractors, LLC ("ALGC"), a provider of civil construction services including wet utility installation, grading, and other related services to residential, commercial and municipal customers in the Atlanta, Georgia metropolitan market. The acquisition was accounted for as a business combination under ASC 805, Business Combinations.</w:t>
      </w:r>
    </w:p>
    <w:p>
      <w:pPr>
        <w:pStyle w:val="TextBody"/>
        <w:bidi w:val="0"/>
        <w:jc w:val="left"/>
        <w:rPr/>
      </w:pPr>
      <w:r>
        <w:rPr/>
        <w:t> </w:t>
      </w:r>
    </w:p>
    <w:p>
      <w:pPr>
        <w:pStyle w:val="TextBody"/>
        <w:bidi w:val="0"/>
        <w:spacing w:before="1" w:after="120"/>
        <w:jc w:val="both"/>
        <w:rPr>
          <w:rFonts w:ascii="Times New Roman" w:hAnsi="Times New Roman"/>
          <w:color w:val="000000"/>
          <w:sz w:val="20"/>
        </w:rPr>
      </w:pPr>
      <w:r>
        <w:rPr>
          <w:rFonts w:ascii="Times New Roman" w:hAnsi="Times New Roman"/>
          <w:color w:val="000000"/>
          <w:sz w:val="20"/>
        </w:rPr>
        <w:t>The purchase price allocation recognized as of the Acquisition Date was preliminary and was based on provisional estimates of the fair values of the assets acquired and liabilities assumed. During the three months ended June 30, 2026, the Company obtained additional information about facts and circumstances that existed as of the Acquisition Date, principally the completion of revised backlog and work-in-process valuation schedules and the estimated fair value of the TRA and TBA. The Company recorded the resulting measurement period adjustments as of the Acquisition Date, with a corresponding adjustment to goodwill. The measurement period remains open and the amounts recognized are subject to further adjustment as the Company completes its acquisition accounting, which will be finalized no later than one year from the Acquisition Date.</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the consideration transferred as previously reported, the measurement period adjustment, and the adjusted amounts:</w:t>
      </w:r>
    </w:p>
    <w:p>
      <w:pPr>
        <w:pStyle w:val="TextBody"/>
        <w:bidi w:val="0"/>
        <w:spacing w:before="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67"/>
        <w:gridCol w:w="281"/>
        <w:gridCol w:w="1521"/>
        <w:gridCol w:w="166"/>
        <w:gridCol w:w="410"/>
        <w:gridCol w:w="1929"/>
        <w:gridCol w:w="166"/>
        <w:gridCol w:w="211"/>
        <w:gridCol w:w="1141"/>
        <w:gridCol w:w="213"/>
      </w:tblGrid>
      <w:tr>
        <w:trPr/>
        <w:tc>
          <w:tcPr>
            <w:tcW w:w="416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Purchase Consideration</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previously reported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Measurement period adjustments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Adjusted</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115,361,840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115,361,840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 and paid at closing</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10,358,599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10,358,599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working capital adjustment escrow (Initial Payment Escrow)</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Rollover equity</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102,809,683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102,809,683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Cardinal Group Class A common stock bonus grants</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8,489,557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8,489,557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 Tax Receivable and Benefit Agreements</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net working capital adjustment payable</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254,665,679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251,711,679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the fair values of the assets acquired and liabilities assumed as previously reported, the measurement period adjustments, and the adjusted amounts:</w:t>
      </w:r>
    </w:p>
    <w:p>
      <w:pPr>
        <w:pStyle w:val="TextBody"/>
        <w:bidi w:val="0"/>
        <w:spacing w:before="0" w:after="120"/>
        <w:jc w:val="both"/>
        <w:rPr/>
      </w:pPr>
      <w:r>
        <w:rPr/>
        <w:t> </w:t>
      </w:r>
    </w:p>
    <w:tbl>
      <w:tblPr>
        <w:tblW w:w="10205" w:type="dxa"/>
        <w:jc w:val="left"/>
        <w:tblInd w:w="0" w:type="dxa"/>
        <w:tblLayout w:type="fixed"/>
        <w:tblCellMar>
          <w:top w:w="28" w:type="dxa"/>
          <w:left w:w="28" w:type="dxa"/>
          <w:bottom w:w="28" w:type="dxa"/>
          <w:right w:w="28" w:type="dxa"/>
        </w:tblCellMar>
      </w:tblPr>
      <w:tblGrid>
        <w:gridCol w:w="3556"/>
        <w:gridCol w:w="305"/>
        <w:gridCol w:w="1653"/>
        <w:gridCol w:w="166"/>
        <w:gridCol w:w="475"/>
        <w:gridCol w:w="2239"/>
        <w:gridCol w:w="166"/>
        <w:gridCol w:w="211"/>
        <w:gridCol w:w="1141"/>
        <w:gridCol w:w="293"/>
      </w:tblGrid>
      <w:tr>
        <w:trPr/>
        <w:tc>
          <w:tcPr>
            <w:tcW w:w="35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Preliminary Purchase Price Allocation</w:t>
            </w:r>
          </w:p>
        </w:tc>
        <w:tc>
          <w:tcPr>
            <w:tcW w:w="19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previously reported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Measurement period adjustments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Adjusted</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2,587,582</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16,930,962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16,930,962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10,627,298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10,567,012</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436,555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current</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143,647</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 term assets</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426,506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36,382,739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36,382,739</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4,798,645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95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69,600,000</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Backlog</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13,600,000</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Non-compete agreements</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 name</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9,300,000</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105,109,288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107,534,530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(11,548,286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(11,548,286</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(1,296,235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(2,771,331</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(85,148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3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(6,095,498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(6,095,498</w:t>
            </w:r>
          </w:p>
        </w:tc>
        <w:tc>
          <w:tcPr>
            <w:tcW w:w="2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assets acquired</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254,665,679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251,711,679</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measurement period adjustments resulted from new information obtained during the three months ended June 30, 2026 about facts and circumstances that existed as of the Acquisition Date. The adjustment to backlog reflects revised backlog revenue and work-in-process percentage-of-completion schedules for contracts in place as of the Acquisition Date, which reduced the estimated fair value of the backlog intangible asset by $5,100,000. The adjustment to customer relationships reflects a corresponding refinement to the valuation of customer relationships as a result of the revised contract-related assumptions used in the backlog valuation, which increased the estimated fair value of the customer relationship intangible asset by $1,700,000. Together these adjustments decreased identifiable intangible assets by $3,400,000.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measurement period adjustments to the intangible assets resulted in a net reduction in amortization expense of $1,205,970 recognized during the three months ended June 30, 2026, of which $376,742 relates to amortization that would have been recognized in a prior period had the adjustments been recognized as of the Acquisition Date.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Contingent Consideration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the Company completed its analysis of the tax attributes underlying the TRA and TBA. The valuation reported as of March 31, 2026 was prepared using preliminary tax modeling assumptions because the underlying tax basis and utilization data were not available in final form at the Acquisition Date. The completed analysis reflects the finalized allocation of the Acquisition Date basis adjustment, which was fixed at closing, and the corresponding revisions to the fair values assigned to acquired intangible assets. As a result, the Company recorded a measurement period adjustment reducing the combined fair value of the TRA and TBA liabilities as of the Acquisition Date by $2,954,000, from $15,254,000 to $12,300,000, with a corresponding offset to goodwill.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measurement period adjustment reflects information about facts and circumstances that existed as of the Acquisition Date and does not reflect a change in the Company's expectations regarding future taxable income or the timing of utilization of the related tax attributes arising after the Acquisition Date. Because the adjustment was recorded against goodwill, no amounts that would have been recognized in earnings in prior periods resulted from this adjustment.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Neither the TRA nor the TBA limits the aggregate undiscounted amount payable. Payments under the TBA are expected to occur over the fifteen-year period during which the related basis adjustment is amortized for federal income tax purposes, and payments under the TRA are contingent on future exchanges of OpCo units, which the Company cannot predict. The change in the simulated range from the amounts reported as of March 31, 2026 is attributable solely to the measurement period adjustment described above and not to any change in the Company's expectations occurring after the Acquisition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 and TBA liabilities are classified within Level 3 of the fair value hierarchy. The Company estimates fair value using a Monte Carlo simulation model incorporating 100,000 trials, in which projected pre-tax income is simulated on a risk-neutral basis and the resulting tax benefits and required payments are discounted to present value. Significant unobservable inputs are set forth below under the description of Contingent Consideration (TRA and TBA).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valuation assumes tax savings may be recognized in each year only to the extent of pre-tax income, with excess benefits carried forward as net operating losses subject to the 80% utilization limitation. Significant increases (decreases) in projected pre-tax income would result in a significantly higher (lower) fair value measurement, and significant increases (decreases) in the discount rate or equity volatility would result in a significantly lower (higher) fair value measurement.</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rollforward of the contingent consideration balance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0"/>
        <w:gridCol w:w="249"/>
        <w:gridCol w:w="1227"/>
        <w:gridCol w:w="246"/>
        <w:gridCol w:w="233"/>
        <w:gridCol w:w="1146"/>
        <w:gridCol w:w="314"/>
      </w:tblGrid>
      <w:tr>
        <w:trPr/>
        <w:tc>
          <w:tcPr>
            <w:tcW w:w="67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 2026</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79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 as previously reported</w:t>
            </w:r>
          </w:p>
        </w:tc>
        <w:tc>
          <w:tcPr>
            <w:tcW w:w="2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15,254,000</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Initial recognition — acquisition-date fair value of the Tax Receivable Agreement and Tax Benefit Agreement assumed in the ALGC acquisition, as previously reported</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15,254,000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Measurement period adjustment recognized in the period, with retrospective effect to the acquisition date</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(2,954,000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(2,954,000</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Acquisition-date fair value, as adjusted</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12,300,000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recognized in earnings</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and settlements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Transfers into and out of Level 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June 30, 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12,300,000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12,300,000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76"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79"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Memorandum — composition of the closing balance</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679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Tax Receivable Agreement (ALGC)</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5,300,000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5,300,000</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Tax Benefit Agreement (ALGC)</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contingent consideration</w:t>
            </w:r>
          </w:p>
        </w:tc>
        <w:tc>
          <w:tcPr>
            <w:tcW w:w="2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12,300,000</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12,300,000</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unrealized gains or losses recognized in earnings for the three and six months ended June 30, 2026 relating to contingent consideration liabilities held as of June 30, 2026.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Piedmont, ALGC, and Page Pro Forma Information (Unaudited)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unaudited pro forma information presents the combined results of operations of the Company, with Piedmont, ALGC, and Page as if the acquisitions had occurred on January 1, 2025. The unaudited pro forma results reflect adjustments for (i) depreciation and amortization of acquired tangible and intangible assets based on the preliminary fair value allocations, and (ii) the related income tax effects of these adjustments. The pro forma information is presented for informational purposes only and does not purport to represent what the actual results of operations would have been had the acquisition occurred on the date indicated, nor is it necessarily indicative of future results of operations.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3"/>
        <w:gridCol w:w="220"/>
        <w:gridCol w:w="1191"/>
        <w:gridCol w:w="152"/>
        <w:gridCol w:w="220"/>
        <w:gridCol w:w="1191"/>
        <w:gridCol w:w="146"/>
        <w:gridCol w:w="146"/>
        <w:gridCol w:w="221"/>
        <w:gridCol w:w="1200"/>
        <w:gridCol w:w="153"/>
        <w:gridCol w:w="221"/>
        <w:gridCol w:w="1200"/>
        <w:gridCol w:w="146"/>
        <w:gridCol w:w="146"/>
        <w:gridCol w:w="253"/>
        <w:gridCol w:w="1369"/>
        <w:gridCol w:w="297"/>
      </w:tblGrid>
      <w:tr>
        <w:trPr/>
        <w:tc>
          <w:tcPr>
            <w:tcW w:w="17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 Proforma for the Company and ALGC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 Proforma for the Company and Piedmont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 Proforma for the Company and Page</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411,206,352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260,396,563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397,505,929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196,756,895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192,021,847</w:t>
            </w:r>
          </w:p>
        </w:tc>
        <w:tc>
          <w:tcPr>
            <w:tcW w:w="29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including noncontrolling interests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21,402,759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22,281,936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17,116,230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16,524,339</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results include $42,713,718 and $59,850,037 of revenue for the three months ended June 30, 2026 and period from February 18, 2026 (the ALGC Acquisition Date) through June 30, 2026 and approximately $2,793,194 and $3,390,742 of net income attributable to ALGC for the three months ended June 30, 2026 and period from February 18, 2026 (the ALGC Acquisition Date) through June 30, 2026, which are included in the Company’s condensed consolidated statements of operations for the six months ended June 30, 2026. The three and six months ending June 30, 2026 income amount includes $3,686,119 and $5,956,337 of amortization expense of acquired ALGC backlog and other intangible assets. The three and six months ended June 30, 2026 included transaction-related costs of $455,214 and $2,773,859, respectively, and the three and six months ended June 30, 2025 included transaction-related costs of $68,417 and $223,644, respectively, within general and administrative expenses in the statements of operations.</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Fair Value of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recognized identifiable intangible assets for customer relationships, contractual backlog related to non</w:t>
        <w:noBreakHyphen/>
        <w:t>cancellable construction contracts in place as of the acquisition date, and the ALGC tradename. These assets are included in "Other intangible assets" on the condensed consolidated balance sheets, and each asset is considered a finite</w:t>
        <w:noBreakHyphen/>
        <w:t xml:space="preserve">lived intangible asset.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identifiable intangible assets was determined using a Level 3 fair value measurement under ASC 820, Fair Value Measurement, as the valuation relied on significant unobservable inputs. Management determined that customer relationships represent the most significant identifiable intangible asset acquired, and accordingly, disclosures focus primarily on this asset.</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Customer Relationships Asset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valued customer relationships using the multi</w:t>
        <w:noBreakHyphen/>
        <w:t>period excess earnings method, which estimates the present value of after</w:t>
        <w:noBreakHyphen/>
        <w:t>tax cash flows attributable to existing customers after deducting contributory asset charges. Customer relationships were disaggregated into commercial, industrial, and residential components due to differences in customer behavior and risk characteristics. Commercial customer relationships were valued using an attrition rate of 16.5 percent and a discount rate of 19 percent. Industrial customer relationships were valued using an attrition rate of 20.5 percent and a discount rate of 19 percent. Residential customer relationships were valued using an attrition rate of 8.5 percent and a discount rate of 19 percent.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key assumptions included projected revenues and operating margins for each customer class and a tax amortization period of 15 years. Based on these assumptions, the resulting aggregate fair value of customer relationships was $69.6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Piedmont customer relationships were valued using the same multi-period excess earnings method. Because Piedmont's customer base is concentrated in a single service line and geographic market, the relationships were not disaggregated by customer class. The valuation applied an attrition rate of 15.0 percent, a discount rate of 26 percent and a tax amortization period of 15 years, resulting in a fair value of $520,000. The Piedmont customer relationship asset is not individually significant to the condensed consolidated financial statements, and quantitative sensitivity disclosures have therefore not been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hypothetical 200 basis point decrease or increase in the customer attrition rates applied consistently across the commercial, industrial, and residential customer relationship populations would, in the aggregate, result in an approximately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$9.5 million increase or decrease in the fair value of customer relationships. In addition, a hypothetical 100 basis point decrease or increase in the discount rate applied uniformly across all customer relationship populations would, in the aggregate, result in an approximately $4.7 million increase or decrease in the fair value of customer relationships.</w:t>
      </w:r>
    </w:p>
    <w:p>
      <w:pPr>
        <w:pStyle w:val="TextBody"/>
        <w:bidi w:val="0"/>
        <w:spacing w:before="160" w:after="283"/>
        <w:jc w:val="both"/>
        <w:rPr>
          <w:rFonts w:ascii="Times New Roman" w:hAnsi="Times New Roman"/>
          <w:i/>
          <w:color w:val="000000"/>
          <w:sz w:val="20"/>
          <w:u w:val="single"/>
        </w:rPr>
      </w:pPr>
      <w:r>
        <w:rPr>
          <w:rFonts w:ascii="Times New Roman" w:hAnsi="Times New Roman"/>
          <w:i/>
          <w:color w:val="000000"/>
          <w:sz w:val="20"/>
          <w:u w:val="single"/>
        </w:rPr>
        <w:t>Tradename Asset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valued the trade name using the relief</w:t>
        <w:noBreakHyphen/>
        <w:t>from</w:t>
        <w:noBreakHyphen/>
        <w:t>royalty method, which estimates the present value of after</w:t>
        <w:noBreakHyphen/>
        <w:t>tax royalty payments that the Company would otherwise be required to pay to license the trade name from a third party. The trade name was valued using a pre</w:t>
        <w:noBreakHyphen/>
        <w:t>tax royalty rate of 1.0 percent applied to projected revenue, a discount rate of 18 percent, and an estimated useful life of 10 years. Other key assumptions included projected revenue attributable to the trade name and a tax amortization period of 15 years. Based on these assumptions, the resulting fair value of the trade name was $9.3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Piedmont trade name was valued using the same relief-from-royalty method, applying a a pre-tax royalty rate of 0.75 percent to projected revenue attributable to the trade name, a discount rate of 26 percent, an estimated useful life of one year and a tax amortization period of 15 years. The resulting fair value was $416,000. For the reason described above, quantitative sensitivity disclosures have not been presented for the Piedmont trade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hypothetical 10 basis point decrease or increase in the royalty rate would result in an approximately $0.9 million decrease or $1.0 million increase, respectively, in the fair value of the trade name. In addition, a hypothetical 100 basis point decrease or increase in the discount rate would result in an approximately $0.4 million increase or $0.3 million decrease, respectively, in the fair value of the trade name.</w:t>
      </w:r>
    </w:p>
    <w:p>
      <w:pPr>
        <w:pStyle w:val="TextBody"/>
        <w:bidi w:val="0"/>
        <w:spacing w:before="160" w:after="283"/>
        <w:jc w:val="both"/>
        <w:rPr>
          <w:rFonts w:ascii="Times New Roman" w:hAnsi="Times New Roman"/>
          <w:i/>
          <w:color w:val="000000"/>
          <w:sz w:val="20"/>
          <w:u w:val="single"/>
        </w:rPr>
      </w:pPr>
      <w:r>
        <w:rPr>
          <w:rFonts w:ascii="Times New Roman" w:hAnsi="Times New Roman"/>
          <w:i/>
          <w:color w:val="000000"/>
          <w:sz w:val="20"/>
          <w:u w:val="single"/>
        </w:rPr>
        <w:t>Intangible Asset Amortization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ALGC intangible assets will be amortized straight-line over their estimated useful lives of a weighted average of 11.6 years for the customer relationships (nine years for Commercial customers, eight years for Industrial customers, 13 years for Residential customers), 18 months for backlog, four years for non-compete agreements, and ten years for the tradename. The Piedmont intangible assets will be amortized straight-line over estimated useful lives of six years for customer relationships, eight months for backlog and one year for the tradename. Customer relationships, non-compete agreements, backlog amortization and tradename amortization are included in the Amortization expense caption of the condensed consolidated statement of income.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Contingent Consideration (TRA and TBA)</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Tax Receivable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its December 2025 initial public offering, PubCo entered into a Tax Receivable Agreement (the "TRA") dated December 9, 2025, among PubCo, Cardinal Civil Contracting Holdings LLC ("OpCo"), and the TRA Parties named therein. As part of the ALGC acquisition on February 18, 2026, Diamond Interests Group LLC and the Seller Owners became parties to the pre-existing TRA as Continuing Equity Holders upon the issuance of their 4,186,062 OpCo units (rollover equity). Under the TRA, PubCo is obligated to pay the Continuing Equity Holders 85% of the net cash tax savings that PubCo actually realizes from the tax basis step-up in OpCo's assets attributable to future exchanges of OpCo units for PubCo Class A common stock or cash, determined on a "with and without" methodology. Payments under the TRA are contingent upon (i) future exchanges of OpCo units actually occurring and (ii) PubCo generating sufficient taxable income to utilize the resulting tax attributes. The TRA includes provisions for early termination at PubCo's election (subject to independent director approval), change-of-control acceleration, and NOL carryforward mechanics capped at 80% of annual pretax income. Interest accrues on unpaid TRA payments at SOFR plus 100 basis points.</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Tax Benefit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Concurrently with the ALGC acquisition on February 18, 2026, PubCo entered into a Tax Benefit Agreement (the "TBA") dated February 18, 2026, among PubCo, OpCo, and Diamond Interests Group LLC. Under the TBA, PubCo is obligated to pay 85% of the annual Cumulative Net Realized Tax Benefit (as defined in the TBA) arising from the basis step-up in ALGC's assets attributable to the portion of the acquisition treated as a taxable asset sale under IRC Section 1001. The Realized Tax Benefit (as defined in the TBA) is computed under a "with and without" method that assumes PubCo is allocated 80% of OpCo's amortization and depreciation deductions in respect of the Basis Adjustments as defined in the TBA. Unlike the TRA, TBA payments do not require future unit exchanges; rather, they depend on PubCo generating sufficient taxable income to utilize the amortization deductions, which arise over the applicable depreciable and amortizable lives of the stepped-up assets (including immediate expensing of fixed asset step-up under bonus depreciation and 15-year amortization of intangible assets under federal tax rules). Interest on unpaid TBA payments accrues at SOFR plus 100 basis points.</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Fair Value Measurement and Recognition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Both the TRA and TBA represent contingent consideration in connection with the Acquisition, as the Purchase Consideration in the purchase agreement is explicitly stated to be increased by payments made to Seller Owners under or in respect of both agreements. Accordingly, the Company recognized the TRA and TBA obligations as contingent consideration at acquisition-date fair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aggregate acquisition-date fair value of the TRA and TBA was $12.3 million as adjusted ($5.3 million attributable to the TRA and $7.0 million attributable to the TBA), determined using a Monte Carlo simulation model with 100,000 trials. The key inputs to the model included: (i) management's projected pretax book income for fiscal years 2026 through 2030, extended through 2053 at a normalized long-term growth rate of 3.0%; (ii) book-to-tax adjustments to convert pretax book income to a tax basis, including immediate bonus depreciation of the fixed asset step-up and 15-year amortization of intangible assets; (iii) annual net operating loss carryforward mechanics capped at 80% of pretax income in any year; (iv) an 85% payment percentage applied to cumulative net realized tax benefits; and (v) an equity volatility assumption of 58.0%, derived from the observed 20-year average equity volatility of a group of guideline public companies and re-levered to reflect the Company’s capital structure, reflecting the equity-linked nature of the underlying cash flows. A metric risk premium was applied to adjust management's pretax income projections to a risk-neutral perspective, based on the Company’s cost of equity capital of 24.0% relative to the guideline public company median. This measurement is classified within Level 3 of the ASC 820 fair value hierarchy due to the use of significant unobservable inputs, including projected taxable income, future tax rates, and the timing of future OpCo unit exchanges.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200 basis point increase in the discount rate variable would decrease the combined value of the TRA and TBA by $640,000, while a 200 basis point decrease would increase the value by $630,000. A 500 basis point increase in the volatility variable would decrease the combined value of the TRA and TBA by $770,000, while a 500 basis point decrease would increase the value by $730,000.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undiscounted payments under the TRA and TBA have no contractual maximum. The minimum potential payment under each agreement is $0, which would occur in scenarios where PubCo does not generate taxable income sufficient to utilize the relevant tax attributes or where no future exchanges of OpCo units occur under the TRA. The expected payment period runs through approximately 2041, reflecting the 15-year IRC Section 197 amortization period for intangible assets under the TBA and the assumed timing of future OpCo unit exchanges under the TRA. Subsequent changes in the fair value of these contingent consideration liabilities are recognized in earnings in the period of change.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Fair Value of Backlog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recognized an identifiable intangible asset for contractual backlog related to non</w:t>
        <w:noBreakHyphen/>
        <w:t>cancellable construction contracts in place as of the acquisition dates for ALGC and Piedmont. The backlog assets are included in "Other intangible assets" on the condensed consolidated balance sheets. The backlog represents the estimated future profit margin to be realized from these contracts and is considered a finite</w:t>
        <w:noBreakHyphen/>
        <w:t>lived intangible asset.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the backlog was estimated using the income approach (multi-period excess earnings method) that isolates the cash flows attributable to the backlog and discounts them to present value. The calculation began with the total gross backlog amount based on signed, non</w:t>
        <w:noBreakHyphen/>
        <w:t>cancellable contracts as of the acquisition date. Estimated profit margin percentages were applied to derive expected pre</w:t>
        <w:noBreakHyphen/>
        <w:t>tax cash flows. The estimated pre</w:t>
        <w:noBreakHyphen/>
        <w:t xml:space="preserve">tax cash flows were discounted to present value using a rate that reflects the timing and risk profile of the expected realization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backlog asset is classified as a Level 3 measurement within the fair value hierarchy due to the use of significant unobservable inputs, including management’s estimates of profit margin and risk adjustments.</w:t>
      </w:r>
    </w:p>
    <w:p>
      <w:pPr>
        <w:pStyle w:val="TextBody"/>
        <w:bidi w:val="0"/>
        <w:spacing w:before="240" w:after="283"/>
        <w:jc w:val="both"/>
        <w:rPr>
          <w:rFonts w:ascii="Times New Roman" w:hAnsi="Times New Roman"/>
          <w:sz w:val="20"/>
        </w:rPr>
      </w:pPr>
      <w:r>
        <w:rPr>
          <w:rFonts w:ascii="Times New Roman" w:hAnsi="Times New Roman"/>
          <w:b/>
          <w:color w:val="000000"/>
          <w:sz w:val="20"/>
          <w:u w:val="single"/>
        </w:rPr>
        <w:t>ALGC Backlog</w:t>
      </w:r>
      <w:r>
        <w:rPr>
          <w:rFonts w:ascii="Times New Roman" w:hAnsi="Times New Roman"/>
          <w:color w:val="000000"/>
          <w:sz w:val="20"/>
        </w:rPr>
        <w:t>: For the ALGC acquisition, unobservable inputs (Level 3) to the valuation included: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backlog intangible asset was measured at $13.6</w:t>
      </w:r>
      <w:r>
        <w:rPr>
          <w:color w:val="000000"/>
        </w:rPr>
        <w:t xml:space="preserve"> </w:t>
      </w:r>
      <w:r>
        <w:rPr>
          <w:rFonts w:ascii="Times New Roman" w:hAnsi="Times New Roman"/>
          <w:color w:val="000000"/>
          <w:sz w:val="20"/>
        </w:rPr>
        <w:t>million as adjusted, based on executed contracts, with gross backlog revenue of $129.2</w:t>
      </w:r>
      <w:r>
        <w:rPr>
          <w:color w:val="000000"/>
        </w:rPr>
        <w:t xml:space="preserve"> </w:t>
      </w:r>
      <w:r>
        <w:rPr>
          <w:rFonts w:ascii="Times New Roman" w:hAnsi="Times New Roman"/>
          <w:color w:val="000000"/>
          <w:sz w:val="20"/>
        </w:rPr>
        <w:t>million, comprised of $8.5</w:t>
      </w:r>
      <w:r>
        <w:rPr>
          <w:color w:val="000000"/>
        </w:rPr>
        <w:t xml:space="preserve"> </w:t>
      </w:r>
      <w:r>
        <w:rPr>
          <w:rFonts w:ascii="Times New Roman" w:hAnsi="Times New Roman"/>
          <w:color w:val="000000"/>
          <w:sz w:val="20"/>
        </w:rPr>
        <w:t>million of residential backlog, $2.6</w:t>
      </w:r>
      <w:r>
        <w:rPr>
          <w:color w:val="000000"/>
        </w:rPr>
        <w:t xml:space="preserve"> </w:t>
      </w:r>
      <w:r>
        <w:rPr>
          <w:rFonts w:ascii="Times New Roman" w:hAnsi="Times New Roman"/>
          <w:color w:val="000000"/>
          <w:sz w:val="20"/>
        </w:rPr>
        <w:t>million of industrial backlog, $1.4</w:t>
      </w:r>
      <w:r>
        <w:rPr>
          <w:color w:val="000000"/>
        </w:rPr>
        <w:t xml:space="preserve"> </w:t>
      </w:r>
      <w:r>
        <w:rPr>
          <w:rFonts w:ascii="Times New Roman" w:hAnsi="Times New Roman"/>
          <w:color w:val="000000"/>
          <w:sz w:val="20"/>
        </w:rPr>
        <w:t>million of multifamily backlog and $1.1</w:t>
      </w:r>
      <w:r>
        <w:rPr>
          <w:color w:val="000000"/>
        </w:rPr>
        <w:t xml:space="preserve"> </w:t>
      </w:r>
      <w:r>
        <w:rPr>
          <w:rFonts w:ascii="Times New Roman" w:hAnsi="Times New Roman"/>
          <w:color w:val="000000"/>
          <w:sz w:val="20"/>
        </w:rPr>
        <w:t>million of commercial backlog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Estimated profit margin: 26.7% for residential, 27.6% for multifamily, 27.2% for commercial, and 28.3% for industrial backlog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Backlog realization period: 18 months</w:t>
      </w:r>
      <w:r>
        <w:rPr>
          <w:color w:val="000000"/>
        </w:rPr>
        <w:t xml:space="preserve"> </w:t>
      </w:r>
      <w:r>
        <w:rPr>
          <w:rFonts w:ascii="Times New Roman" w:hAnsi="Times New Roman"/>
          <w:color w:val="000000"/>
          <w:sz w:val="20"/>
        </w:rPr>
        <w:t>across all backlog categories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Discount rate: 17% across all backlog categories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most significant assumption in the ALGC valuation is the estimated gross margin. A hypothetical 200 basis point increase (decrease) in the profit margin assumption across each sector would increase (decrease) the combined fair value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backlog asset by approximately $2.0 million. Changes in the estimated realization period and discount rate would not have a material effect on the valuation given the short realization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ALGC backlog intangible asset is amortized straight-line over its estimated realization period of approximately 18 months through August 2027, which reflects the pattern in which the economic benefits were expected to be consumed. Based on the ALGC backlog asset’s adjusted carrying amount of $13,600,000 at the acquisition date and its estimated 18 month useful life, $3,319,048 was recognized as amortization expense during the six months ended June 30, 2026 in the condensed consolidated statements of operations, while $7,852,381 will be amortized in 2026 and $5,747,619 will be amortized in 2027. </w:t>
      </w:r>
    </w:p>
    <w:p>
      <w:pPr>
        <w:pStyle w:val="TextBody"/>
        <w:bidi w:val="0"/>
        <w:spacing w:before="240" w:after="283"/>
        <w:jc w:val="both"/>
        <w:rPr>
          <w:rFonts w:ascii="Times New Roman" w:hAnsi="Times New Roman"/>
          <w:sz w:val="20"/>
        </w:rPr>
      </w:pPr>
      <w:r>
        <w:rPr>
          <w:rFonts w:ascii="Times New Roman" w:hAnsi="Times New Roman"/>
          <w:b/>
          <w:color w:val="000000"/>
          <w:sz w:val="20"/>
          <w:u w:val="single"/>
        </w:rPr>
        <w:t>Piedmont Backlog</w:t>
      </w:r>
      <w:r>
        <w:rPr>
          <w:rFonts w:ascii="Times New Roman" w:hAnsi="Times New Roman"/>
          <w:color w:val="000000"/>
          <w:sz w:val="20"/>
        </w:rPr>
        <w:t>: For the Piedmont acquisition, unobservable inputs (Level 3) to the valuation included: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backlog totals $6.3 million, based on executed contracts, substantially all of which were scheduled for completion by December 31, 2026. The backlog was valued as a single pool by expected fulfillment date rather than by end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Estimated profit margin: 10.4%, measured on an EBITA basis, across all backlog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Backlog realization period: eight months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Discount rate: 20.5%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most significant assumption in the Piedmont valuation is the estimated profit margin. The backlog intangible asset was measured at $94,000 and is not individually significant to the condensed consolidated financial statements; quantitative sensitivity disclosures have therefore not been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Piedmont backlog intangible asset is amortized straight-line over its estimated realization period of approximately eight months through January 2027, which reflects the pattern in which the economic benefits were expected to be consumed. Based on the Piedmont backlog asset’s carrying amount of $94,000 at the acquisition date and its estimated eight month useful life, $11,750 was recognized as amortization expense during the six months ended June 30, 2026 in the condensed consolidated statements of operations, while $82,250 will be amortized in 2026 and $11,750 will be amortized in 2027.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Piedmont, ALGC and Red Clay Measurement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Red Clay, ALGC, and Piedmont acquisitions each remain within their respective measurement periods, which close on October 1, 2026, February 18, 2027 and May 29, 2027, respectively. The fair values assigned to contingent consideration, equipment, intangible assets, related deferred income tax balances, and goodwill amounts deductible for income tax purposes are preliminary and are based on the information available as of the respective acquisition dates. The Company will continue to evaluate these items during the measurement periods and will record adjustments to the provisional amounts as necessary. Such adjustments may be material.</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Contract Assets and Liabilities, and Provision for Contract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assets and liabilities consisted of the following amounts as of each period end:</w:t>
      </w:r>
    </w:p>
    <w:tbl>
      <w:tblPr>
        <w:tblW w:w="9662" w:type="dxa"/>
        <w:jc w:val="left"/>
        <w:tblInd w:w="0" w:type="dxa"/>
        <w:tblLayout w:type="fixed"/>
        <w:tblCellMar>
          <w:top w:w="28" w:type="dxa"/>
          <w:left w:w="28" w:type="dxa"/>
          <w:bottom w:w="28" w:type="dxa"/>
          <w:right w:w="28" w:type="dxa"/>
        </w:tblCellMar>
      </w:tblPr>
      <w:tblGrid>
        <w:gridCol w:w="6386"/>
        <w:gridCol w:w="146"/>
        <w:gridCol w:w="211"/>
        <w:gridCol w:w="1036"/>
        <w:gridCol w:w="166"/>
        <w:gridCol w:w="146"/>
        <w:gridCol w:w="213"/>
        <w:gridCol w:w="1047"/>
        <w:gridCol w:w="311"/>
      </w:tblGrid>
      <w:tr>
        <w:trPr/>
        <w:tc>
          <w:tcPr>
            <w:tcW w:w="6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48,805,559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27,949,597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8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Conditional retainage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49,365,879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26,944,663</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98,171,438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54,894,260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Billings in excess of costs and estimated earnings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18,233,190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18,792,435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8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Conditional retainage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(9,013,681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(8,096,518</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contract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135,647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9,230,997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10,831,564</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contract assets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88,940,441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44,062,696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Conditional retainage is a type of contract asset, but is reported in the table above and on the condensed consolidated balance sheets within “Contract assets” and “Contract liabilities” on a contract-by-contract basis. The Company's total conditional retainage receivable balance was $58,379,560 at June 30, 2026 and $35,041,181 at December 31, 2025.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Total contract assets increased at June 30, 2026 by $43,277,178 compared to December 31, 2025 due to (1) an increase in unbilled revenue on in-process contracts due to the timing of advance billings and work progression, (2) an increase in conditional retainage from increased billings and the timing of retainage receipts, and (3) an increase of $10,567,012 of acquired contract assets from the ALGC business combination in 2026 (Note 3).</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Total contract liabilities decreased at June 30, 2026 by $1,600,567 compared to December 31, 2025 due to a decrease in the timing of advance billings and work progression, and a lower magnitude and fewer anticipated losses on customer contracts within the provision for contract losses. These decreases were partially offset by lower conditional retainage related to advanced billing contracts, as well an increase of $2,771,331 of acquired contract liabilities from the ALGC business combination in 2026 (Note 3).</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recognized during the six months ended June 30, 2026 and 2025 that were included in the opening balance of billings in excess of costs and estimated earnings (a component of Contract liabilities) was $17,887,393, and $22,766,900, respectively.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At June 30, 2026, the Provision for contract losses included 10 contracts, with individual contract losses ranging from less than $100 to $4,500. At December 31, 2025, the Provision for contract losses included 9 contracts, with individual contract losses ranging from $1,000 to $70,000. The following table presents a reconciliation of the beginning and ending balances of the Company's Provision for contract losses:</w:t>
      </w:r>
    </w:p>
    <w:tbl>
      <w:tblPr>
        <w:tblW w:w="8082" w:type="dxa"/>
        <w:jc w:val="left"/>
        <w:tblInd w:w="0" w:type="dxa"/>
        <w:tblLayout w:type="fixed"/>
        <w:tblCellMar>
          <w:top w:w="28" w:type="dxa"/>
          <w:left w:w="28" w:type="dxa"/>
          <w:bottom w:w="28" w:type="dxa"/>
          <w:right w:w="28" w:type="dxa"/>
        </w:tblCellMar>
      </w:tblPr>
      <w:tblGrid>
        <w:gridCol w:w="4636"/>
        <w:gridCol w:w="146"/>
        <w:gridCol w:w="211"/>
        <w:gridCol w:w="841"/>
        <w:gridCol w:w="166"/>
        <w:gridCol w:w="146"/>
        <w:gridCol w:w="302"/>
        <w:gridCol w:w="1423"/>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 balance January 1 within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 new loss provisions within Cost of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Utilization - losses realized within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(3,913,639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within Contract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135,647</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 w:after="283"/>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the Company’s remaining performance obligations were $619,648,550 and $516,764,766, respectively, all of which is expected to be recognized within the next eighteen months. As of June 30, 2026 the Company expects to recognize $556.5 million within the next 12 months and the remaining $63 million in the period from 13 to 18 months from these performance obligations. These amounts represent the aggregate amount of revenue expected to be recognized on contracts for which performance has commenced but is not yet complete. These obligations are derived from the transaction price allocated to unsatisfied or partially satisfied performance obligations under existing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recognized from performance obligations satisfied in prior periods resulted in a net increase of approximately $674,000 and $1,013,000 in the three and six month periods ended June 30, 2026, respectively, and a net increase of $778,000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and a decrease of $108,000 for the three and six month periods ended June 30, 2025, respectively, primarily due to the resolution of previously unresolved change orders.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six months ended June 30, 2026 and 2025, the Company's sales projects all reside within the same geographical market: North Carolina, South Carolina, and Georgia (subsequent to the acquisition of ALGC in February 2026) in the United States. The Company expanded its presence in the Charlotte, North Carolina market through the acquisitions of Purcell in January 2025, and Red Clay in October 2025, expanded its presence in the Greensboro, North Carolina market through the acquisition of Page in May 2025, and entered the Georgia market through the acquisition of ALGC in February 2026 (Note 3). The Company historically has minimal credit loss from collections and therefore believes the collections and economic risks across its customers are similar.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customers in the Private sector primarily consist of national and regional home builders. Public sector customers include government agencies such as the department of transportation. Private sector customers comprised 91% of the Company's revenue in the six months ended June 30, 2026 and 96% in the six months ended June 30, 2025, while Public sector customers comprised 9% of the Company's revenue in the six months ended June 30, 2026 and 4% in the six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six months ended June 30, 2026 and 2025, respectively, 99% and 99% of the Company's revenue relates to fixed price contracts, with the remaining 1% and 1% relating to time and material billed contracts. Typically, there is more risk with fixed-price contracts, and unforeseen events and circumstances can alter the estimate of the costs and potential profit. However, fixed price contracts offer additional profit when the Company completes the work for less cost than originally estimated. Time and material contracts generally are subject to lower risk, and as such, the associated fees are usually lower than fees earned on fixed-price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primary customer contracts are for 'turn key land development' projects that generally take 12 to 18 months to complete. Contracts that are not turn key land development will typically be for a smaller subset of the Company's services, such as for standalone paving contracts, which generally are complete in one to three months. Revenue from these short duration contracts comprised approximately 3% of the Company's revenue in the six months ended June 30, 2026, and 2% in the six months ended June 30,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net consisted of the following:</w:t>
      </w:r>
    </w:p>
    <w:p>
      <w:pPr>
        <w:pStyle w:val="TextBody"/>
        <w:bidi w:val="0"/>
        <w:jc w:val="both"/>
        <w:rPr/>
      </w:pPr>
      <w:r>
        <w:rPr/>
        <w:t> </w:t>
      </w:r>
    </w:p>
    <w:tbl>
      <w:tblPr>
        <w:tblW w:w="6604" w:type="dxa"/>
        <w:jc w:val="left"/>
        <w:tblInd w:w="0" w:type="dxa"/>
        <w:tblLayout w:type="fixed"/>
        <w:tblCellMar>
          <w:top w:w="28" w:type="dxa"/>
          <w:left w:w="28" w:type="dxa"/>
          <w:bottom w:w="28" w:type="dxa"/>
          <w:right w:w="28" w:type="dxa"/>
        </w:tblCellMar>
      </w:tblPr>
      <w:tblGrid>
        <w:gridCol w:w="3131"/>
        <w:gridCol w:w="146"/>
        <w:gridCol w:w="211"/>
        <w:gridCol w:w="1141"/>
        <w:gridCol w:w="166"/>
        <w:gridCol w:w="146"/>
        <w:gridCol w:w="211"/>
        <w:gridCol w:w="1141"/>
        <w:gridCol w:w="311"/>
      </w:tblGrid>
      <w:tr>
        <w:trPr/>
        <w:tc>
          <w:tcPr>
            <w:tcW w:w="3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179,585,231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118,867,241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 and trailers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42,473,868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30,252,251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computers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2,232,278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1,760,490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1,041,123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11,450,957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8,018,256</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237,111,749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159,939,361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(86,899,484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(75,037,759</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150,212,265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84,901,602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capitalized interest of $156,003 and $296,847 during the three and six months ended June 30, 2026 to Construction in progress. No interest was capitalized in the three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Notes Payable &amp;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Notes payable consisted of the following at June 30, 2026 and December 31, 2025, respectively: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8"/>
        <w:gridCol w:w="146"/>
        <w:gridCol w:w="211"/>
        <w:gridCol w:w="1141"/>
        <w:gridCol w:w="146"/>
        <w:gridCol w:w="146"/>
        <w:gridCol w:w="214"/>
        <w:gridCol w:w="1161"/>
        <w:gridCol w:w="192"/>
      </w:tblGrid>
      <w:tr>
        <w:trPr/>
        <w:tc>
          <w:tcPr>
            <w:tcW w:w="6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payable under the October 2025 Credit Facility, bearing interest based on the Secured Overnight Financing Rate (“SOFR”) plus 2.375%, with interest payable monthly and scheduled quarterly principal amortization, maturing October 31, 2030. In February 2026, the Company entered into the First Amendment to the Credit Agreement, which provided for an additional term loan advance of $80.0 million, increasing the aggregate outstanding principal balance from $120.0 million to $200.0 million. Quarterly principal installments of $2.5 million are due through September 30, 2027, $3.75 million from December 31, 2027 through September 30, 2030, with the remaining principal due as a final balloon payment on October 31, 2030. The effective interest rate, inclusive of the amortization of deferred financing costs, was 6.25% at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payable under four separate equipment financing notes entered into in June 2026 in an aggregate original principal amount of $3,412,020, used to finance the purchase of heavy construction equipment, payable in 48 equal monthly installments of principal (and interest, where applicable) commencing July 11, 2026 and maturing June 2030. Aggregate monthly payments under the notes are approximately $73,302. The notes consist of a $1,361,540 note bearing interest at a fixed rate of 3.74% per annum, a $578,200 non-interest-bearing note, a $668,300 non-interest-bearing note, and a $803,980 non-interest-bearing note. As of June 30, 2026, no payments had been made under the notes, as the first scheduled payment date had not yet occurred.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8"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Unsecured subordinated notes payable to various sellers. Notes payable are due in (a) quarterly installments of $125,000 plus interest at 7% through September 2025, with $0 outstanding as of September 30, 2025 and (b) semi-annual payments of $25,422 including interest at 5% through July 2027 unless seller’s employment agreement is terminated without cause in which all principal and interest would be payable immediately. The effective interest rate was 5.00% at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Note payable to a financial institution, bearing interest based on Compounded SOFR, calculated daily, with interest payable monthly and scheduled monthly principal amortization, maturing January 1, 2031. Monthly principal installments of $7,552 are due through December 1, 2030, with the remaining principal balance of $641,927 due as a final balloon payment on January 1, 2031. The effective interest rate was 6.14%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1,087,500</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Total Notes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199,500,188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121,178,878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10,970,395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6,128,674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8"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2,460,090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1,897,340</w:t>
            </w:r>
          </w:p>
        </w:tc>
        <w:tc>
          <w:tcPr>
            <w:tcW w:w="1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Long-Term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186,069,703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113,152,864</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maturities of notes payable are as follows as of June 30, 2026:</w:t>
      </w:r>
    </w:p>
    <w:p>
      <w:pPr>
        <w:pStyle w:val="TextBody"/>
        <w:bidi w:val="0"/>
        <w:jc w:val="left"/>
        <w:rPr/>
      </w:pPr>
      <w:r>
        <w:rPr/>
        <w:t> </w:t>
      </w:r>
    </w:p>
    <w:tbl>
      <w:tblPr>
        <w:tblW w:w="3160" w:type="dxa"/>
        <w:jc w:val="left"/>
        <w:tblInd w:w="0" w:type="dxa"/>
        <w:tblLayout w:type="fixed"/>
        <w:tblCellMar>
          <w:top w:w="28" w:type="dxa"/>
          <w:left w:w="28" w:type="dxa"/>
          <w:bottom w:w="28" w:type="dxa"/>
          <w:right w:w="28" w:type="dxa"/>
        </w:tblCellMar>
      </w:tblPr>
      <w:tblGrid>
        <w:gridCol w:w="1471"/>
        <w:gridCol w:w="146"/>
        <w:gridCol w:w="211"/>
        <w:gridCol w:w="114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5,453,351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12,226,848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15,943,333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15,956,273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149,278,455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199,500,188</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October 2025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1, 2025, Cardinal NC, Cardinal and certain wholly owned subsidiaries entered into a credit facility (the "October 2025 Credit Facility") with Truist Bank, as administrative agent and lender, which provides for a $75.0 million senior secured revolving credit facility, including a $10.0 million letter of credit sub-facility and a $10.0 million swingline sub-facility, and a $120.0 million senior secured term loan facility. The October 2025 Credit Facility matures on October 1, 2030 and is secured by substantially all assets of the Company and subsidiary guarantors. Borrowings bear interest, at the borrower's option, at either the base rate, SOFR Index, or Term SOFR, plus an applicable margin ranging from 0.875% to 1.625% per annum for base rate borrowings and 1.875% to 2.625% per annum for SOFR-based borrowings, in each case based on the Company's leverage ratio. Amounts under the term loan facility amortize quarterly, commencing March 31, 2026, in aggregate annual amounts equal to 5.0% of the original principal during the first two years and 7.5% during years three through five, with the remaining balance due at maturity. The October 2025 Credit Facility contains certain financial covenants and other customary affirmative and negative covenants. As of June 30, 2026 and December 31, 2025, outstanding borrowings under the term loan facility and revolving credit facility totaled $195.0 million and $120 million, respectively. As of June 30, 2026, the effective interest rate on outstanding borrowings was 6.25%. As of June 30, 2026, the Company was in compliance with all covenants under the October 2025 Credit Facility.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February 2026 Credit Facility Amendment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18, 2026, Cardinal and other guarantors party thereto entered into an amendment to the October 2025 Credit Facility (the "First Amendment") with Truist Bank, as administrative agent and lender. Under the First Amendment, the lenders provided an additional $80.0 million in term loans on the amendment effective date. The additional borrowing was made to fund the acquisition of ALGC and bears interest under the same terms under the October 2025 Credit Facility. The additional advance was not provided as an incremental facility under the October 2025 Credit Facility and does not reduce the facility's remaining incremental capacity. Covenants applicable to the First Amendment are the same as those applicable to the base October 2025 Credit Facility.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Financing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2025, the Company entered into a $7.2 million debt agreement with a financial institution in connection with the acquisition of Purcell. The note payable was secured by real property and was payable in monthly principal installments over five years with interest payable monthly based on SOFR plus 2.35%. This debt was subsequently repaid with proceeds from the October 2025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the Company entered into a $1,087,500 Note payable to finance equipment. Interest is based on compounded SOFR, calculated daily, with interest payable monthly and scheduled monthly principal amortization, maturing January 1, 2031. Monthly principal installments of $7,552 are due through December 1, 2030, with the remaining principal balance of $641,927 due as a final balloon payment on January 1, 2031.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2026, four separate equipment financing notes were entered into in an aggregate original principal amount of $3,412,020, used to finance the purchase of heavy construction equipment, payable in 48 equal monthly installments of principal (and interest, where applicable) commencing July 11, 2026 and maturing June 2030. Aggregate monthly payments under the notes are approximately $73,302. The notes consist of a $1,361,540 note bearing interest at a fixed rate of 3.74% per annum, a $578,200 non-interest-bearing note, a $668,300 non-interest-bearing note, and a $803,980 non-interest-bearing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interest incurred during the six months ended June 30, 2026 and 2025 was $6,621,519 and $2,729,287 respectively. Substantially all of the carrying value of assets of the Company are pledged as collateral at June 30, 2026 and December 31, 2025,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Rate Swap and Risk Management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exposed to interest rate risk on its variable-rate borrowings. To manage this exposure, in January 2026, the Company entered into a pay-fixed, receive-floating interest rate swap with an initial notional amount of $60 million, reducing each quarter in proportion to 50% of the October 2025 Credit Facility. The Company has designated this instrument as a cash flow hedge of the variability in interest payments on Term SOFR debt. Under the swap, the Company pays a fixed rate of 3.80% and receives one-month Term SOFR. The swap matures on October, 2030. At inception and quarterly thereafter, the Company assesses, both prospectively and retrospectively whether the derivative is highly effective in offsetting changes in the cash flows of the hedged item. Changes in the fair value of the swap are recorded in accumulated other comprehensive income (loss) ("AOCI") and reclassified into interest expense in the same period the hedged interest payments affect earnings. As of June 30, 2026, the Company had recorded an asset of $114,921 as a component of other non-current assets representing the fair value of $59,250,000 notional for a single instrument of SOFR pay-fixed, receive-floating interest rate swap. The fair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value of the swap is determined using a discounted cash flow model based on observable market inputs, including the SOFR forward curve, and is classified as Level 2 within the fair value hierarchy.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and six months ended June 30, 2026, the Company recognized unrealized gains of $589,535 and $63,358 respectively, net of tax, in other comprehensive income. Amounts reclassified from AOCI to increase interest expense was $23,229 and $41,042 for the same periods. The Company estimates that approximately $106,618 of net losses currently in AOCI will be reclassified into earnings over the next twelve months.</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both operating and finance leases, primarily related to construction and transportation equipment, as well as office and workshop space.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operating leases, right-of-use assets and lease liabilities are recognized at the commencement date. Operating lease liabilities are measured at the present value of the lease payments over the lease term. Operating right-of-use assets are calculated as the present value of the lease payments plus initial direct costs, plus any prepayments less any lease incentives received. Lease terms may include renewal or extension options to the extent they are reasonably certain to be exercised. The assessment of whether renewal or extension options are reasonably certain to be exercised is made at lease commencement.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Factors considered in determining whether an option is reasonably certain of exercise include, but are not limited to, the value of any leasehold improvements, the value of renewal rates compared to market rates, and the presence of factors that would cause a significant economic penalty to the Company if the option were not exercised. Lease expense is recognized on a straight-line basis over the lease term.</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assets and liabilities under the finance leases are recorded at the present value of the future minimum lease payments. The assets are amortized over the lower of their related lease terms or their estimated useful lives. Following is a summary of equipment held under the finance leases at June 30, 2026, and December 31, 2025, respectively:</w:t>
      </w:r>
    </w:p>
    <w:p>
      <w:pPr>
        <w:pStyle w:val="TextBody"/>
        <w:bidi w:val="0"/>
        <w:jc w:val="both"/>
        <w:rPr/>
      </w:pPr>
      <w:r>
        <w:rPr/>
        <w:t> </w:t>
      </w:r>
    </w:p>
    <w:tbl>
      <w:tblPr>
        <w:tblW w:w="5356" w:type="dxa"/>
        <w:jc w:val="left"/>
        <w:tblInd w:w="0" w:type="dxa"/>
        <w:tblLayout w:type="fixed"/>
        <w:tblCellMar>
          <w:top w:w="28" w:type="dxa"/>
          <w:left w:w="28" w:type="dxa"/>
          <w:bottom w:w="28" w:type="dxa"/>
          <w:right w:w="28" w:type="dxa"/>
        </w:tblCellMar>
      </w:tblPr>
      <w:tblGrid>
        <w:gridCol w:w="2266"/>
        <w:gridCol w:w="211"/>
        <w:gridCol w:w="1096"/>
        <w:gridCol w:w="166"/>
        <w:gridCol w:w="146"/>
        <w:gridCol w:w="213"/>
        <w:gridCol w:w="1047"/>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16,360,122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15,919,545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(10,723,898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(9,975,175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5,636,224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5,944,370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Future minimum lease payments as of June 30, 2026 were as follows:</w:t>
      </w:r>
    </w:p>
    <w:p>
      <w:pPr>
        <w:pStyle w:val="TextBody"/>
        <w:bidi w:val="0"/>
        <w:jc w:val="both"/>
        <w:rPr/>
      </w:pPr>
      <w:r>
        <w:rPr/>
        <w:t> </w:t>
      </w:r>
    </w:p>
    <w:tbl>
      <w:tblPr>
        <w:tblW w:w="7399" w:type="dxa"/>
        <w:jc w:val="left"/>
        <w:tblInd w:w="0" w:type="dxa"/>
        <w:tblLayout w:type="fixed"/>
        <w:tblCellMar>
          <w:top w:w="28" w:type="dxa"/>
          <w:left w:w="28" w:type="dxa"/>
          <w:bottom w:w="28" w:type="dxa"/>
          <w:right w:w="28" w:type="dxa"/>
        </w:tblCellMar>
      </w:tblPr>
      <w:tblGrid>
        <w:gridCol w:w="3711"/>
        <w:gridCol w:w="245"/>
        <w:gridCol w:w="1150"/>
        <w:gridCol w:w="166"/>
        <w:gridCol w:w="146"/>
        <w:gridCol w:w="269"/>
        <w:gridCol w:w="1321"/>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2026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3,779,889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7,122,300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1,562,652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5,076,584</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2,825,311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2,168,115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8,669,700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undiscounted lease payments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29,641,899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(6,568,155</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23,073,744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(3,433,406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(6,187,695</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lease liabilities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16,886,049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components of lease costs are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5"/>
        <w:gridCol w:w="632"/>
        <w:gridCol w:w="2790"/>
        <w:gridCol w:w="146"/>
        <w:gridCol w:w="146"/>
        <w:gridCol w:w="632"/>
        <w:gridCol w:w="2790"/>
        <w:gridCol w:w="194"/>
      </w:tblGrid>
      <w:tr>
        <w:trPr/>
        <w:tc>
          <w:tcPr>
            <w:tcW w:w="287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finance lease assets</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861,963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827,453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 finance lease liabilities</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952,708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2,675,601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1,895,862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77"/>
        <w:gridCol w:w="623"/>
        <w:gridCol w:w="2748"/>
        <w:gridCol w:w="146"/>
        <w:gridCol w:w="146"/>
        <w:gridCol w:w="623"/>
        <w:gridCol w:w="2748"/>
        <w:gridCol w:w="194"/>
      </w:tblGrid>
      <w:tr>
        <w:trPr/>
        <w:tc>
          <w:tcPr>
            <w:tcW w:w="297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finance lease assets</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1,343,687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1,577,136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 finance lease liabilities</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228,749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3,059,705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1,849,961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4,585,137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3,655,846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net change in ROU asset and operating lease liability is included in the net change in other assets in the condensed consolidated statements of cash flows. Other required information related to the Company’s lease obligations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89"/>
        <w:gridCol w:w="440"/>
        <w:gridCol w:w="2164"/>
        <w:gridCol w:w="166"/>
        <w:gridCol w:w="146"/>
        <w:gridCol w:w="454"/>
        <w:gridCol w:w="2133"/>
        <w:gridCol w:w="413"/>
      </w:tblGrid>
      <w:tr>
        <w:trPr/>
        <w:tc>
          <w:tcPr>
            <w:tcW w:w="428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260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(1,436,760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(2,768,831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(1,843,015</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obtained in exchange for lease obligations (non-cash)</w:t>
            </w:r>
          </w:p>
        </w:tc>
        <w:tc>
          <w:tcPr>
            <w:tcW w:w="26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via finance leases</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1,442,071</w:t>
            </w:r>
          </w:p>
        </w:tc>
        <w:tc>
          <w:tcPr>
            <w:tcW w:w="4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via operating leases</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1,937,837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June 30, 2026 and December 31, 2025 the weighted-average discount rate for operating leases was 6.85% and 5.53%, respectively. The weighted-average remaining operating lease term as of June 30, 2026 and 2025, was 6.28 and 2.79 years, respectively. As of June 30, 2026 and December 31, 2025, the weighted-average discount rate for finance leases was 4.83% and 4.56%, respectively and the weighted-average remaining lease term was 2.23 years and 2.47 years, respectively.</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connection with the acquisition of ALGC (see Note 3 – Business Combinations), the Company assumed right-of-use assets and lease liabilities which have been included in the consolidated lease balances presented herein. A description of the leases and terms as well as the fair values of the right-of-use assets and lease liabilities recognized as of the acquisition date are disclosed in Note 3.</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Certain of the Company's lease arrangements involve related parties. See Note 16 – Related Party Transactions for further details.</w:t>
      </w:r>
    </w:p>
    <w:p>
      <w:pPr>
        <w:pStyle w:val="TextBody"/>
        <w:bidi w:val="0"/>
        <w:spacing w:before="40" w:after="283"/>
        <w:jc w:val="both"/>
        <w:rPr/>
      </w:pPr>
      <w:r>
        <w:rPr/>
        <w:t> </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changes in the gross carrying amount of goodwill are as follows:</w:t>
      </w:r>
    </w:p>
    <w:p>
      <w:pPr>
        <w:pStyle w:val="TextBody"/>
        <w:bidi w:val="0"/>
        <w:jc w:val="both"/>
        <w:rPr/>
      </w:pPr>
      <w:r>
        <w:rPr/>
        <w:t> </w:t>
      </w:r>
    </w:p>
    <w:tbl>
      <w:tblPr>
        <w:tblW w:w="6848" w:type="dxa"/>
        <w:jc w:val="left"/>
        <w:tblInd w:w="0" w:type="dxa"/>
        <w:tblLayout w:type="fixed"/>
        <w:tblCellMar>
          <w:top w:w="28" w:type="dxa"/>
          <w:left w:w="28" w:type="dxa"/>
          <w:bottom w:w="28" w:type="dxa"/>
          <w:right w:w="28" w:type="dxa"/>
        </w:tblCellMar>
      </w:tblPr>
      <w:tblGrid>
        <w:gridCol w:w="4936"/>
        <w:gridCol w:w="146"/>
        <w:gridCol w:w="245"/>
        <w:gridCol w:w="1330"/>
        <w:gridCol w:w="19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23,510,649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acquired in current</w:t>
              <w:noBreakHyphen/>
              <w:t>period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107,280,451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Measurement Period Adjustments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2,425,243</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133,216,343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Additions to goodwill are from acquisitions detailed in Note 3 – Business Combinations. The Company did not identify any goodwill impairment triggering events during the three and six months ended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finite-lived intangible assets, including the weighted-average useful lives for each major intangible asset category and in total:</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281"/>
        <w:gridCol w:w="1040"/>
        <w:gridCol w:w="1308"/>
        <w:gridCol w:w="1325"/>
        <w:gridCol w:w="1259"/>
        <w:gridCol w:w="246"/>
        <w:gridCol w:w="1211"/>
        <w:gridCol w:w="1325"/>
        <w:gridCol w:w="1210"/>
      </w:tblGrid>
      <w:tr>
        <w:trPr/>
        <w:tc>
          <w:tcPr>
            <w:tcW w:w="12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Life (Years)</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Amount</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Amount</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r>
      <w:tr>
        <w:trPr/>
        <w:tc>
          <w:tcPr>
            <w:tcW w:w="1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Backlog</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3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$21,236,000</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$(10,872,798)</w:t>
            </w:r>
          </w:p>
        </w:tc>
        <w:tc>
          <w:tcPr>
            <w:tcW w:w="12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$10,363,202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$7,542,000</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$(6,479,500)</w:t>
            </w:r>
          </w:p>
        </w:tc>
        <w:tc>
          <w:tcPr>
            <w:tcW w:w="12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$1,062,500</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84,720,000</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(3,788,544)</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80,931,456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14,600,000</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(523,808)</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14,076,192</w:t>
            </w:r>
          </w:p>
        </w:tc>
      </w:tr>
      <w:tr>
        <w:trPr/>
        <w:tc>
          <w:tcPr>
            <w:tcW w:w="1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w:t>
            </w:r>
          </w:p>
        </w:tc>
        <w:tc>
          <w:tcPr>
            <w:tcW w:w="13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10,216,000</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(749,181)</w:t>
            </w:r>
          </w:p>
        </w:tc>
        <w:tc>
          <w:tcPr>
            <w:tcW w:w="12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9,466,819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2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375,000</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agreements</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(109,521)</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1,090,479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color w:val="000000"/>
              </w:rPr>
            </w:pPr>
            <w:r>
              <w:rPr>
                <w:color w:val="000000"/>
              </w:rPr>
              <w:t>—</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color w:val="000000"/>
              </w:rPr>
            </w:pPr>
            <w:r>
              <w:rPr>
                <w:color w:val="000000"/>
              </w:rPr>
              <w:t>—</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30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$117,372,000</w:t>
            </w:r>
          </w:p>
        </w:tc>
        <w:tc>
          <w:tcPr>
            <w:tcW w:w="13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$(15,520,044)</w:t>
            </w:r>
          </w:p>
        </w:tc>
        <w:tc>
          <w:tcPr>
            <w:tcW w:w="12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$101,851,956</w:t>
            </w:r>
          </w:p>
        </w:tc>
        <w:tc>
          <w:tcPr>
            <w:tcW w:w="2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$22,642,000</w:t>
            </w:r>
          </w:p>
        </w:tc>
        <w:tc>
          <w:tcPr>
            <w:tcW w:w="13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$(7,128,308)</w:t>
            </w:r>
          </w:p>
        </w:tc>
        <w:tc>
          <w:tcPr>
            <w:tcW w:w="12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$15,513,692</w:t>
            </w:r>
          </w:p>
        </w:tc>
      </w:tr>
    </w:tbl>
    <w:p>
      <w:pPr>
        <w:pStyle w:val="TextBody"/>
        <w:bidi w:val="0"/>
        <w:spacing w:before="240" w:after="2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six months ended June 30, 2026 and 2025 amortization expense was $8,391,734 and $3,309,679, respectively. The estimated aggregate amortization expense for each of the next five years is as follows:</w:t>
      </w:r>
    </w:p>
    <w:tbl>
      <w:tblPr>
        <w:tblW w:w="3160" w:type="dxa"/>
        <w:jc w:val="left"/>
        <w:tblInd w:w="0" w:type="dxa"/>
        <w:tblLayout w:type="fixed"/>
        <w:tblCellMar>
          <w:top w:w="28" w:type="dxa"/>
          <w:left w:w="28" w:type="dxa"/>
          <w:bottom w:w="28" w:type="dxa"/>
          <w:right w:w="28" w:type="dxa"/>
        </w:tblCellMar>
      </w:tblPr>
      <w:tblGrid>
        <w:gridCol w:w="1471"/>
        <w:gridCol w:w="146"/>
        <w:gridCol w:w="211"/>
        <w:gridCol w:w="114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9,653,261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15,365,557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9,432,855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9,432,855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9,173,334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48,794,095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101,851,957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Equity and Noncontrolling Interest</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Equity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Subsequent to the IPO, the authorized capital of Cardinal Infrastructure Group Inc. is comprised of Class A Common Stock, Class B Common Stock and Preferred Stock.</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Class A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Cardinal Infrastructure Group Inc.’s amended and restated certificate of incorporation authorizes the issuance of 500,000,000 shares of Class A Common Stock with a par value of $0.0001 per share. Each share of Class A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entitles its holder to one vote per share on all matters presented to Cardinal Infrastructure Group Inc.’s stockholders. Holders of Class A Common Stock are entitled to receive dividends when, as and if declared by the Board of Directors of Cardinal Infrastructure Group Inc. As of June 30, 2026, there were 20,238,610 shares of Class A Common Stock issued and outstanding.</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Class B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Cardinal Infrastructure Group Inc.’s amended and restated certificate of incorporation authorizes the issuance of 500,000,000 shares of Class B Common Stock with a par value of $0.0001 per share. Each share of Class B Common Stock entitles its holder to one vote per share on all matters presented to Cardinal Infrastructure Group Inc.’s stockholders. Shares of Class B Common Stock have no economic rights, including no right to receive dividends or distributions upon a liquidation of Cardinal Infrastructure Group Inc. Shares of Class B Common Stock may only be held by the Continuing Equity Holders and their respective permitted transferees. As of June 30, 2026, there were 27,234,449 shares of Class B Common Stock issued and outstanding.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three and six months ended June 30, 2026, Continuing Equity Holders exchanged 339,426 LLC units, together with an equal number of shares of Class B Common Stock, for 339,426 newly issued shares of Class A Common Stock. The shares of Class B Common Stock so transferred were cancelled. As a result of these exchanges, $2,433,647 was reclassified from noncontrolling interests to additional paid-in capital.</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Cardinal Infrastructure Group Inc.’s amended and restated certificate of incorporation authorizes the issuance of 10,000,000 shares of preferred stock with a par value of $0.0001 per share. The preferred stock may be issued by the Board of Directors in one or more series without stockholder approval, with such designations, voting powers, preferences, and relative, participating, optional and other special rights as shall be set forth in the resolutions providing for the issuance thereof. As of June 30, 2026, no shares of preferred stock were issued or outstanding.</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Cardinal’s ("OpCo's") amended and restated operating agreement provides that the Continuing Equity Holders have the right (the “Redemption Right”) to cause OpCo to redeem all or a portion of their Class B LLC units, together with a corresponding number of shares of Class B Common Stock, for newly issued shares of Cardinal Infrastructure Group Inc.'s Class A Common Stock on a one-for-one basis (subject to customary adjustments for stock splits, stock dividends, and reclassifications). Alternatively, Cardinal Infrastructure Group Inc. may, at its option (the “Call Right”), elect to directly acquire the tendered LLC units and Class B Common Stock from the Continuing Equity Holder in exchange for Class A Common Stock on the same one-for-one basis.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lieu of a share settlement, Cardinal Infrastructure Group Inc. (through at least two of its independent directors within the meaning of the Nasdaq listing rules who are disinterested) may elect to settle a redemption or exchange in cash. The cash settlement is limited to the lower of cash received from a secondary offering of equity securities, and the trailing ten-day volume-weighted average price. If Cardinal Infrastructure Group Inc. does not timely deliver an election notice, Cardinal Infrastructure Group Inc. is deemed to have elected the share settlement method.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Upon any such redemption or exchange, a corresponding number of shares of Class B Common Stock held by the exchanging Continuing Equity Holder is automatically transferred to the Company and cancelled. Any such exchange of LLC units for Class A Common Stock is accounted for as an equity transaction in accordance with ASC 810-10-45-23, with no gain or loss recognized. The LLC interests are not classified as temporary equity as the cash settlement is limited to the proceeds from a new offering of Class A Common Stock which is equity-classified.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Cardinal Infrastructure Group Inc. is the sole managing member of OpCo, holds 100% of the voting rights of OpCo and consolidates the financial results of OpCo. The Continuing Equity Holders' interests in OpCo are reported as noncontrolling interests in the condensed consolidated financial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Net income and other comprehensive income of OpCo are attributed to the noncontrolling interests based on the weighted-average percentage of LLC units held by the Continuing Equity Holders relative to all outstanding LLC units during the period, which was 63.85% and 64.11% for the three and six months ended June 30, 2026, respectively. Income tax expense of Cardinal Infrastructure Group Inc. is attributed entirely to the controlling interest.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Cardinal Infrastructure Group Inc.'s ownership interest in OpCo while it retains its controlling financial interest — including the exchange of LLC units for Class A Common Stock, the issuance of LLC units to Cardinal Infrastructure Group Inc. in connection with issuances of Class A Common Stock, and the issuance of LLC units to Continuing Equity Holders — are accounted for as equity transactions in accordance with ASC 810-10-45-23. On each such transaction the carrying amount of the noncontrolling interests is adjusted to reflect the change in their ownership interest in OpCo, with the difference recognized in additional paid-in capital. No gain or loss is recognized in net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noncontrolling interests' ownership percentage changes over time as Continuing Equity Holders exchange LLC units for shares of Class A Common Stock and as Cardinal Infrastructure Group Inc. or OpCo issues additional LLC units.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acquisition of ALGC (refer to Note 3), OpCo issued 4,186,062 LLC units to the Seller as rollover equity, together with an equal number of shares of the Company's Class B Common Stock, par value $0.0001 per share. The LLC Units and corresponding Class B Common Stock were valued at $102,809,683 based on the closing share price of the Company's Class A Common Stock of $24.56 on the acquisition date and were accounted for as consideration transferred in the business combination in accordance with ASC 805. The LLC units issued to the Seller were recorded within noncontrolling interests at their fair value of $102,809,683 on the acquisition date in accordance with ASC 805-20-30-1. The issuance increased the Continuing Equity Holders' ownership interest in OpCo from 61.01% to 64.32%.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six months ended June 30, 2026, OpCo issued LLC units to Cardinal Infrastructure Group Inc. as follows: 4,600,000 units in connection with the follow-on offering of Class A Common Stock (refer to Note 1); 6,200 units in connection with the vesting of restricted stock awards under the 2025 Stock Incentive Plan (refer to Note 11); and 339,426 units acquired from Continuing Equity Holders on the exchanges described above. In addition, OpCo issued 345,666 LLC units to Cardinal Infrastructure Group Inc. in connection with the Class A Common Stock issued as consideration in the ALGC acquisition (refer to Note 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ownership of LLC units of OpCo as of June 30, 2026 and December 31, 2025:</w:t>
      </w:r>
    </w:p>
    <w:tbl>
      <w:tblPr>
        <w:tblW w:w="8760" w:type="dxa"/>
        <w:jc w:val="left"/>
        <w:tblInd w:w="0" w:type="dxa"/>
        <w:tblLayout w:type="fixed"/>
        <w:tblCellMar>
          <w:top w:w="28" w:type="dxa"/>
          <w:left w:w="28" w:type="dxa"/>
          <w:bottom w:w="28" w:type="dxa"/>
          <w:right w:w="28" w:type="dxa"/>
        </w:tblCellMar>
      </w:tblPr>
      <w:tblGrid>
        <w:gridCol w:w="2851"/>
        <w:gridCol w:w="146"/>
        <w:gridCol w:w="1036"/>
        <w:gridCol w:w="146"/>
        <w:gridCol w:w="223"/>
        <w:gridCol w:w="1037"/>
        <w:gridCol w:w="271"/>
        <w:gridCol w:w="146"/>
        <w:gridCol w:w="146"/>
        <w:gridCol w:w="1036"/>
        <w:gridCol w:w="146"/>
        <w:gridCol w:w="223"/>
        <w:gridCol w:w="1037"/>
        <w:gridCol w:w="31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LLC Units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Ownership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LLC Units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Ownership %</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Cardinal Infrastructure Group Inc.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20,238,610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14,947,318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Continuing Equity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27,234,449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23,387,813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47,473,059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38,335,131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June 30, 2026, 27,234,449 shares of Class A Common Stock were issuable upon exchange of the outstanding LLC units and corresponding shares of Class B Common Stock held by the Continuing Equity 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dividends were declared or paid on the Class A Common Stock during the three and six months ended June 30, 2026. Shares of Class B Common Stock have no economic rights and are not entitled to dividends.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effects on the Company's equity of changes in its ownership interest in OpCo, for the three and six months ended June 30, 2026:</w:t>
      </w:r>
    </w:p>
    <w:tbl>
      <w:tblPr>
        <w:tblW w:w="10205" w:type="dxa"/>
        <w:jc w:val="left"/>
        <w:tblInd w:w="0" w:type="dxa"/>
        <w:tblLayout w:type="fixed"/>
        <w:tblCellMar>
          <w:top w:w="28" w:type="dxa"/>
          <w:left w:w="28" w:type="dxa"/>
          <w:bottom w:w="28" w:type="dxa"/>
          <w:right w:w="28" w:type="dxa"/>
        </w:tblCellMar>
      </w:tblPr>
      <w:tblGrid>
        <w:gridCol w:w="5329"/>
        <w:gridCol w:w="146"/>
        <w:gridCol w:w="314"/>
        <w:gridCol w:w="1790"/>
        <w:gridCol w:w="166"/>
        <w:gridCol w:w="146"/>
        <w:gridCol w:w="299"/>
        <w:gridCol w:w="1702"/>
        <w:gridCol w:w="313"/>
      </w:tblGrid>
      <w:tr>
        <w:trPr/>
        <w:tc>
          <w:tcPr>
            <w:tcW w:w="5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3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Cardinal Infrastructure Group Inc.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4,675,367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8,093,805</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Transfers (to)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2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in additional paid-in capital on the exchange of LLC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2,433,647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2,433,647</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in additional paid-in capital on establishment of the tax receivable agreement liability and related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1,016,242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2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Decrease in additional paid-in capital on reallocation of equity to noncontrolling interests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(152,374,179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(152,374,179</w:t>
            </w:r>
          </w:p>
        </w:tc>
        <w:tc>
          <w:tcPr>
            <w:tcW w:w="31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transfers (to)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(148,924,290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(148,924,290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from net income attributable to Cardinal Infrastructure Group Inc. and transfers (to) from noncontrolling interests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(144,248,923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(140,830,485</w:t>
            </w:r>
          </w:p>
        </w:tc>
        <w:tc>
          <w:tcPr>
            <w:tcW w:w="3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Operating Subsidiaries and Pre-IPO Noncontrolling Interests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conducts its operations through Cardinal NC and the following wholly owned subsidiaries: Aviator Paving Company, LLC (“APC”), providing integrated paving services; Civil Transport, LLC (“CT”), providing transport services; Cardinal Civil Contracting NC, LLC (“CCCNC”), providing grading services; Civil Drilling &amp; Blasting, LLC (“CDB”), providing drilling and blasting services; Cardinal Civil Contracting Charlotte, LLC (“CCCC”), providing expanded operations in the Charlotte, North Carolina region; Cardinal Civil Contracting Triad, LLC (“Triad”), providing expanded operations in the Greensboro, North Carolina region; Civil Underground and Boring Company, LLC (“Boring Newco”), established for underground utility and boring services; Aviator Paving Company Charlotte, LLC (“APCC”), providing expanded paving operations in the Charlotte market; and A.L. Grading Contractors, LLC (“ALGC”), acquired on February 18, 2026, providing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asphalt paving, curbing and resurfacing services in the Atlanta, Georgia market. All subsidiaries were wholly owned by Cardinal NC as of June 30,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Prior to the September 2025 Reorganization, Cardinal NC held majority but not 100% ownership interests in several of its subsidiaries. Aviator Paving Company, LLC (“APC”), formed in 2018 to provide integrated paving subcontracted services, was 60% owned by Cardinal NC. Cardinal Civil Contracting NC, LLC (“CCCNC”), formed in 2016 to provide grading services, was approximately 70% owned. Civil Drilling &amp; Blasting, LLC (“CDB”), formed in 2022 to provide drilling and blasting services, was 90% owned. Cardinal Civil Contracting Charlotte, LLC (“CCCC”), formed in 2023 to expand operations in the Charlotte, North Carolina region through acquisitions, was approximately 75% owned after giving effect to the issuance of nonvoting units as consideration for the Purcell acquisition in January 2025. Cardinal Civil Contracting Triad, LLC (“Triad”), formed in 2025 to expand operations in the Greensboro, North Carolina region through acquisitions, was 80% owned following the issuance of nonvoting units as consideration for the Page acquisition. Civil Underground and Boring Company, LLC (“Boring Newco”), formed in March 2025 to expand into underground utility and boring services, was 70% owned following the issuance of Class B units as consideration for the contribution of certain assets by MJS &amp; GCP, LLC. The minority equity holders in these subsidiaries were reported as noncontrolling interests in the condensed consolidated financial statements for periods prior to September 30, 2025. Effective September 30, 2025, in connection with the September 2025 Reorganization, these minority equity holders became members of Cardinal and the subsidiaries became wholly owned by Cardinal NC. The acquisition of these pre-IPO noncontrolling interests was accounted for as equity transactions in accordance with ASC 810-10-45-23, with carrying amounts reclassified to members’ equity with no gain or loss recognized.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2025 Stock Incentive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Cardinal Infrastructure Group Inc. adopted the 2025 Stock Incentive Plan (the “2025 Plan”) on November 13, 2025, with stockholder approval on the same date. The 2025 Plan is designed to attract, retain, and motivate employees, officers, directors, and consultants by providing for equity</w:t>
        <w:noBreakHyphen/>
        <w:t>based compensation aligned with long</w:t>
        <w:noBreakHyphen/>
        <w:t>term stockholder value. It authorizes up to 3,660,656 shares of Class A common stock for issuance, with the share reserve eligible for an automatic annual increase of up to 5% of outstanding shares beginning with the first fiscal year after the Company’s registration date, unless the Compensation Committee elects otherwise. Shares underlying awards that are forfeited, canceled, expired, or settled in cash are returned to the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2025 Plan may be used to grant stock options (both incentive and nonqualified), restricted stock, restricted stock units, stock appreciation rights, and other stock</w:t>
        <w:noBreakHyphen/>
        <w:t>based awards. It is administered by the Board of Directors or a designated committee, which has broad authority to determine award terms, vesting conditions, performance goals, and to interpret the plan, including the ability to accelerate vesting in certain circumstances. The 2025 Plan includes a detailed definition of a Change in Control, covering specified acquisitions of voting power, board turnover, mergers, consolidations, and significant asset transactions. The plan will remain in effect until November 13, 2035, unless earlier terminated or extended.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acquisition of ALGC (refer to Note 3), the Company issued 345,666 shares of Class A Common Stock, par value $0.0001 per share, from its 2025 Stock Incentive Plan to employees of, and service providers to, ALGC at the direction of the selling shareholders. The shares were fully vested at issuance and were not subject to any service or other vesting conditions. Because the shares were issued at the direction of the selling shareholders to settle existing arrangements with the recipients, they were treated as consideration transferred in the business combination rather than post-combination compensation expense. The shares were valued at $8,489,557, based on the Company's closing share price of $24.56 on the acquisition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in addition to the ALGC Class A awards, the December 2025 Director Stock Awards, and the 2026 Director Retainer awards discussed below were issued under the Plan. As of June 30, 2026 there were 3,262,835 shares of Class A common stock available for issuance under the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legacy Profit Interest Units outstanding prior to the IPO were settled in connection with the Reorganization Transactions in December 2025. No compensation cost related to those awards was recognized during the three and six months ended June 30, 2026, and no unrecognized cost remains.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December 2025 Director Stock Awards &amp; 2026 Retainer Awards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November 2025, the Board of Directors approved a Non-Employee Director Compensation Program under which directors receive annual cash retainers and equity grants pursuant to the 2025 Stock Incentive Plan. Each non-employee director is entitled to an annual cash retainer of $75,000 and an annual grant of restricted stock units (RSUs) with a grant date fair value of $100,000, generally awarded at the Company’s annual meeting and vesting on the earlier of the next annual meeting or the first anniversary of the grant date. Committee chairpersons receive an additional annual RSU grant valued at $12,500,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committee members receive RSUs valued at $5,000 annually. Directors may elect to receive their cash retainer in the form of RSUs, which vest quarterly. In connection with the Company’s IPO, newly appointed directors received RSU grants with a fair value of $18,750 (in lieu of a prorated cash retainer for 2025), vesting on December 31, 2025, as well as RSUs valued at $100,000 plus applicable committee grants, each vesting on the first anniversary of the grant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Prior to the Non-Employee Director Compensation Program the directors elected to receive their 2025 cash retainer in the form of RSUs. As a result of this election, the Company recognized an additional grant of 12,404 RSUs in the three months ended March 2026 and recognized $191,852 of stock-based compensation expense. The fair value of the restricted stock units was based on the Company’s closing share price on December 31, 2025 of $24.18 per share, which represents a Level 1 input under the fair value hierarchy. Subsequent to the Annual Meeting, the Company recognized an additional grant of 7,722 RSUs in the three months ended June 2026 and recognized $269,664 of stock-based compensation expense. The fair value of the restricted stock units was based on the Company’s closing share price on June 5, 2025 of $60.46 per share, which represents a Level 1 input under the fair value hierarchy.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Company had $861,306 of unrecognized compensation cost related to 36,187 unvested awards, based on a weighted</w:t>
        <w:noBreakHyphen/>
        <w:t>average grant</w:t>
        <w:noBreakHyphen/>
        <w:t>date fair value of $32.04 per award. This amount is expected to be recognized over a weighted</w:t>
        <w:noBreakHyphen/>
        <w:t>average period of 6.5 months, corresponding to remaining service periods through to June 5, 2027.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 Changes in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Accounting for customer construction contracts requires the use of various estimation techniques to determine total contract revenue and costs. The Company's cost-to-cost method for recognizing revenue includes estimates and assumptions about future events, including labor productivity and availability, material costs and availability, and the complexity of work to be performed.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Estimates are updated as conditions evolve. Changes in job performance, site conditions, subcontractor performance, and scope modifications may result in revisions to estimated costs and profitability. The accuracy of revenue and profit recognition in any period depends on the reliability of these estimates. Because the Company manages a portfolio of contracts of varying size and complexity, changes in individual contract estimates may offset each other. However, significant changes in estimates can materially affect reported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Key factors contributing to changes in contract estimates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Completeness and accuracy of original bids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Scope changes and related cost recognition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Extended overhead from customer or weather-related delays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Subcontractor and supplier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Site conditions differing from bid assumptions (where contract remedies are unavailable)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 availability and skill levels in project geographies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Material availability and proximity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factors, along with the stage of completion and margin mix of contracts in progress, may cause fluctuations in gross profit between periods, which can be significant.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estimates of contract revenue, cost, or extent of completion are accounted for in the period the changes become known. Such changes are considered normal recurring adjustments inherent in the cost-to-cost revenue recognition method. The effect of changes in estimates for contracts in progress at December 31, 2025 increased revenue for the six months ended June 30, 2026 by $206,509. The effect of changes in estimates for contracts in progress at December 31, 2024 decreased revenue for the six months ended June 30, 2025 by $188,734.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Income Taxes and Tax Receivable Agreement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is subject to U.S. federal, state and local income taxes on its taxable income, including its allocable share of the taxable income of Cardinal Civil Contracting Holdings LLC (“OpCo”), and is taxed at the applicable corporate income tax rates. The Company’s actual effective tax rate is affected by its ownership percentage in OpCo, which will increase over time as continuing OpCo owners redeem or exchange their LLC interests for shares of PubCo's Class A common stock (together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with cancellation of an equal number of Class B shares), or as the Company acquires LLC interests directly from such continuing OpCo owners.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Because the Company consolidates OpCo for financial reporting purposes, its consolidated effective tax rate will vary from period to period based on multiple factors, including changes in the Company’s ownership of OpCo, the geographic mix of earnings, changes in tax law, and differences in tax rates among jurisdictions. The Company’s income tax provision includes U.S. federal, state, and local income taxes, as applicable.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the end of each interim period, the Company estimates the effective tax rate expected to be applicable for the full fiscal year and this rate is applied to the results for the year-to-date period, and then adjusted for any discrete period items.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the three and six month period ended June 30, 2026, the Company calculated an effective tax rate of (9.97%) and 0.19%, respectively, on pre-tax book income of $10,137,184 and $22,671,449, respectively, and booked a total tax expense of ($1,011,122) and $42,107 respectively.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sole material asset is its investment in OpCo, which is treated as a partnership for U.S. income tax purposes and for purposes of certain jurisdictional income taxes. OpCo's net taxable income and any related tax credits are passed through to its partners and are included in the partners' tax returns, even though such net taxable income or tax credits may not have actually been distributed. While the Company consolidates OpCo for financial reporting purposes, the Company will be taxed on its share of earnings of OpCo not attributed to the noncontrolling interest holders, which will continue to bear their share of income tax on allocable earnings of OpCo. The income tax burden on the earnings taxed to the noncontrolling interest holders is not reported by the Company in its condensed consolidated financial statements under GAAP. As a result, the Company's effective tax rate differs materially from the statutory rate. The primary factor impacting the effective tax rate is income attributable to noncontrolling interests that is not subject to corporate income tax and non-deductible expenses. For the six month period ended June 30, 2025, and prior to the completion of the Company's IPO, Cardinal NC was organized as a limited liability company and treated as a partnership for U.S. federal and state income tax purposes. As a pass-through entity in 2025, Cardinal NC was not subject to U.S. federal corporate income tax, and a $714,261 provision for corporate income taxes was recorded in relation to pass-through entity taxes for the six-months to June 30, 2025.</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connection with the IPO and Reorganization Transactions, PubCo entered into a tax receivable agreement (the “Tax Receivable Agreement”) with Cardinal Civil Contracting Holdings LLC and the Continuing Equity Holders, which provides for the payment by PubCo to the Continuing Equity Holders of 85% of the amount of U.S. federal, state and local income or franchise tax savings, if any, that PubCo actually realizes (or in some circumstances is deemed to realize) as a result of (i) increases in the tax basis of Cardinal Civil Contracting Holdings LLC’s assets resulting from (a) the purchase of LLC interests from such Continuing Equity Holders, including with the net proceeds from the IPO and any subsequent offerings or (b) redemptions or exchanges by such Continuing Equity Holders of LLC interests for shares of Class A common stock or for cash, as applicable, and (ii) certain other tax benefits related to PubCo making payments under the Tax Receivable Agreement. Payments under the Tax Receivable Agreement are due within five (5) business days after delivery of the applicable schedule calculating the realized tax benefits and related payment amount, once such schedule becomes final in accordance with the Tax Receivable Agreement. The benefit schedule is required to be delivered within one hundred eighty (180) calendar days after the due date (including extensions) of the applicable annual federal income tax return for the relevant taxable year, and payments are based on the actual tax savings realized by PubCo. Substantially all payments due under the Tax Receivable Agreement are payable over fifteen years following the purchase of LLC interests from Continuing Equity Holders or redemption or exchanges by Continuing Equity Holder of LLC interests. The Company will account for the income tax effects resulting from taxable redemptions or exchanges of LLC interests by Continuing Equity Holder owners for shares of Class A common stock or cash, as the case may be, and purchases by PubCo of LLC interests from Continuing Equity Holders owners by recognizing an increase in deferred tax assets, based on enacted tax rates at the date of each redemption, exchange, or purchase, as the case may be. Further, PubCo evaluates the likelihood that it will realize the benefit represented by the deferred tax asset, and, to the extent that the PubCo estimates that it is more likely than not that it will not realize the benefit, it reduces the carrying amount of the deferred tax asset with a valuation allowance. The impact of any changes in the total projected obligations recorded under the Tax Receivable Agreement as a result of actual changes in the mix of the Company’s earnings, tax legislation and tax rates in various jurisdictions, or other factors that may impact PubCo's actual tax savings realized, will be reflected in income before taxes on the condensed consolidated statements of operations in the period in which the change occurs.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part of the ALGC acquisition on February 18, 2026, Diamond Interests Group LLC and the Seller Owners became parties to the pre-existing TRA as Continuing Equity Holders upon the issuance of their 4,186,062 OpCo units (rollover equity). Additionally, concurrently with the acquisition of ALGC, the company entered into a TBA with the Seller Owners.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connection with the accounting for ALGC acquisition, the Company recorded a fair value of $12.3 million for both the TRA and TBA liability as contingent consideration. See Note 3 for details on the valuation assumptions.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tax receivable agreement liability on the condensed consolidated balance sheet totaled $47,156,582 which represents the Company's estimate of 85% of the amount of tax benefits, if any, that the Company expects to realize (or in some circumstances is deemed to realize) related to the tax basis adjustments as such savings are realized. As each of the Continuing Equity Owners elects to convert their remaining LLC Interests into Class A common stock, the Company will succeed to their aggregate historical tax basis which will create a net tax benefit to the Company. These tax benefits are expected to be amortized over 15.0 years pursuant to Sections 743(b) and 197 of the Code. The Company will only recognize a deferred tax asset for financial reporting purposes when it is more likely than not that the tax benefit will be realized. The actual amount of deferred tax assets and related liabilities that we will recognize will differ based on, among other things, the timing of the exchanges, the price per share of our Class A common stock at the time of the exchange, and the tax rates then in effect.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 Earnings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earnings per share is computed by dividing net income attributable to Cardinal Infrastructure Group Inc. by the weighted-average number of shares of Class A common stock outstanding during the period. Diluted earnings per share is computed by adjusting the net income available to Cardinal Infrastructure Group Inc. and the weighted average shares outstanding to give effect to potentially dilutive securities. Shares of Class B common stock are not entitled to receive any distributions or dividends and are therefore excluded from this presentation since they are not participating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Reorganization Transactions, all continuing equity holders were exchanged for Class B non-participating securities. All earnings prior to December 10, 2025, the date of the IPO, were entirely allocable to the non-controlling interests and LLC owners, as a result, earnings per share information is not applicable for reporting periods prior to this date. Consequently, only earnings per share for net income for periods subsequent to December 9, 2025 are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and diluted earnings per share of common stock have been computed as follows:</w:t>
      </w:r>
    </w:p>
    <w:tbl>
      <w:tblPr>
        <w:tblW w:w="10205" w:type="dxa"/>
        <w:jc w:val="left"/>
        <w:tblInd w:w="0" w:type="dxa"/>
        <w:tblLayout w:type="fixed"/>
        <w:tblCellMar>
          <w:top w:w="28" w:type="dxa"/>
          <w:left w:w="28" w:type="dxa"/>
          <w:bottom w:w="28" w:type="dxa"/>
          <w:right w:w="28" w:type="dxa"/>
        </w:tblCellMar>
      </w:tblPr>
      <w:tblGrid>
        <w:gridCol w:w="5770"/>
        <w:gridCol w:w="346"/>
        <w:gridCol w:w="302"/>
        <w:gridCol w:w="1487"/>
        <w:gridCol w:w="346"/>
        <w:gridCol w:w="263"/>
        <w:gridCol w:w="1297"/>
        <w:gridCol w:w="394"/>
      </w:tblGrid>
      <w:tr>
        <w:trPr/>
        <w:tc>
          <w:tcPr>
            <w:tcW w:w="57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77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89"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560"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Cardinal Infrastructure Group Inc., Basic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4,675,367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8,093,805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 Net income attributable to Noncontrolling Interest LLC Owners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6,472,939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Including income attributable LLC and Common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11,148,306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22,629,342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89"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of common stock outstanding, Basic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15,586,953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15,349,112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effects of:</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89"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RSUs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units of Class B LLC Shares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27,534,561</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of common stock outstanding,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43,127,603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15,353,808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89"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share</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dilutive impact of 27,234,449 LLC interests that are exchangeable for Class A common stock is not included in the calculation of diluted earnings per share for the six months ended June 30, 2026 as the effect would be anti-dilutive.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involved in litigation in the normal course of business and does not anticipate that such matters will ultimately have a material effect on its condensed consolidated financial position or the results of its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required to pay a monthly management fee of $18,773 in connection with equipment, subject to annual adjustments of 2% from January 2026 through June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one operating lease agreement with a 15 year term which has not yet commenced. Total commitments under the new agreement through 2041 is approximately $16,550,000. Refer to Note 16 - Related Party Transactions for additional details about this lease.</w:t>
      </w:r>
    </w:p>
    <w:p>
      <w:pPr>
        <w:pStyle w:val="TextBody"/>
        <w:bidi w:val="0"/>
        <w:spacing w:before="360" w:after="283"/>
        <w:jc w:val="both"/>
        <w:rPr>
          <w:rFonts w:ascii="Times New Roman" w:hAnsi="Times New Roman"/>
          <w:sz w:val="20"/>
        </w:rPr>
      </w:pPr>
      <w:r>
        <w:rPr>
          <w:rFonts w:ascii="Times New Roman" w:hAnsi="Times New Roman"/>
          <w:b/>
          <w:color w:val="000000"/>
          <w:sz w:val="20"/>
        </w:rPr>
        <w:t>16. Related Party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and 2025 the Company engaged in transactions with Envision Homes ("Envision"), which is a related party due to common control under a Company equity holder. The Company recognized $6,546 and $27,016 of sublease income for the three months ended June 30, 2026, and 2025, respectively. The Company recognized revenue of $1,265,331 and $- for the work performed for Envision for the three months ended June 30, 2026 and 2025, respectively. The Company recognized revenue of $1,265,331 and $- for the work performed for Envision for the six months ended June 30, 2026 and 2025, respectively. The outstanding balances due from Envision as of June 30, 2026 and June 30, 2025 are $12,563 and $-, respectively. All transactions with Envision were conducted in the normal course of business and on terms equivalent to those that prevail in arm's length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June 30, 2026 and 2025, the Company engaged in transactions with Wellfield Development ("Wellfield"), which is a related party due to common control under a Company equity holder. The Company recognized no revenue for the three and six months ended June 30, 2026 and 2025. The outstanding balances due from Wellfield as of June 30, 2026 and June 30, 2025 are $- and $9,146, respectively, which are included on the accompanying condensed consolidated balance sheets as accounts receivable, net. All transactions with Wellfield were conducted in the normal course of business and on terms equivalent to those that prevail in arm's length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months ended June 30, 2026 and 2025, the Company engaged in transactions with Park Towns ("Park"), which is a related party due to common control under a Company equity holder. The Company recognized revenue of $22,243 and $68,967 for the work performed for Park for the three months ended June 30, 2026 and 2025, respectively. The Company recognized revenue of $36,714 and $68,967 for the work performed for Park for the six months ended June 30, 2026 and 2025, respectively. The outstanding balances due from Park as of June 30, 2026 and 2025 are $- and $25,828, respectively, which are included on the accompanying condensed consolidated balance sheet as accounts receivable, net. All transactions with Park were conducted in the normal course of business and on terms equivalent to those that prevail in arm's length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months ended June 30, 2026 the Company engaged in transactions with the previously consolidated VIE, CCCRE Holdings ("CCCRE"), which is a related party due to common control under a Company equity holder. The Company recognized $33,804 and $67,608 of lease expense for the three and six months ended June 30, 2026, respectively, related to a leased office warehouse and equipment yard which began in November 2025. We expect to pay CCCRE $144,000 per year under the lease through November 2030. Management believes the terms of the lease are consistent with market rates and comparable to those that could have been obtained from an unrelated third party. In addition, the Company entered into a separate lease agreement with CCCRE with an initial term beginning January 1, 2026 and extending through January 31, 2041 with annual base rent of approximately $1,140,000. The commencement of this lease is contingent upon the issuance of a certificate of occupancy, which had not been received as of June 30, 2026. Accordingly, the lease had not commenced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2025, the Company entered into a new lease with King Road, LLC ("King Road"), which is a related party due to common control under a Company equity holder. The Company recognized lease expense of $60,000 and $120,000 for the three and six months ended June 30, 2026, respectively, related to leased land for purposes of operating an equipment yard. We expect to pay King Road $120,000 per year through December 2030. Management believes the terms of the lease are consistent with market rates and comparable to those that could have been obtained from an unrelated third party.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2026, as part of the ALGC transaction, the Company entered into two separate 15-year lease agreements with an entity under common control with the seller to lease the existing operating and office facilities of ALGC. The Company recognized lease expense of $162,744 and $238,304 for the three and six months ended June 30, 2026, respectively. We expect to pay $600,000 per year through February 2041 with 3% annual increases.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IPO, Cardinal Infrastructure Group Inc. utilized some of the net proceeds from the IPO to redeem 7,500,000 OpCo units for $157,500,000 from the group of Continuing Equity Holders, which includes Erik West, the Chief Operating Officer of Cardinal NC, Mike Rowe, our Chief Financial Officer, and Jeremy Spivey, our Chief Executive Officer. Additionally we entered into a Tax Receivable Agreement (“TRA”) with the Continuing Equity Holders. The TRA provides for payments by the Company to the Continuing Equity Holders equal to 85% of certain tax benefits that the Company realizes,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is deemed to realize, as a result of increases in tax basis arising from exchanges of LLC units for Class A Common Stock (or cash) and from certain other tax benefits related to payments made under the TRA. The Company retains the benefit of the remaining 15% of such tax benefits. The TRA liability is recognized when the related tax benefits are realized upon exchanges of LLC units. As of June 30, 2026, the tax receivable agreement liability on the condensed consolidated balance sheet totaled $47,156,582 . Refer to Note 13. Income Taxes and Tax Receivable Agreement for further details.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17. Subsequent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evaluated subsequent events through the date on which this Form 10-Q was filed, which is also the date on which these financial statements were issued.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11, 2026, subsequent to the quarter ended June 30, 2026, the Company entered into an agreement and plan of merger (the “Merger Agreement”) pursuant to which it will acquire Allied Paving Contractors, Inc. ("Allied"), an Atlanta-based paving and heavy site construction contractor, for total consideration of approximately $120 million, subject to customary post-closing adjustments, consisting of (i) approximately $62.5 million of cash and (ii) shares of Class A Common Stock having a value of $57.5 million (based on the volume-weighted average price over the 10 trading days ending two trading days prior to the date of the Merger Agreement), subject, in each case, to adjustments. The acquisition is expected to be completed in October, subject to customary closing conditions. The shares of Class A Common Stock to be issued in the transaction will be subject to a six month lock-up. The cash portion of the acquisition consideration will be funded with cash on hand and Allied will operate as part of the Company's ALGC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Subsequent to June 30, 2026, Continuing Equity Holders redeemed 190,000 LLC units, together with an equal number of shares of Class B Common Stock, for 190,000 newly issued shares of Class A Common Stock. The shares of Class B Common Stock so redeemed were cancelled. As of the date of this Report, 20,428,610 shares of Class A Common Stock and 27,044,449 shares of Class B Common Stock were outstanding, and the Company held 43.03% of the LLC units of OpCo. The redemptions will be accounted for as equity transactions in the third quarter of 2026 and had no effect on total equity, net income, or cash.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as described above, there have been no subsequent events that occurred during such period that would require disclosure in the Form 10-Q or would be required to be recognized in the condensed consolidated financial statements as of and for the three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part_i_item_2"/>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Management’s Discussion and Analysis of Financial Condition and Results of Operations should be read in conjunction with the Unaudited Condensed Consolidated Financial Statements and accompanying notes included elsewhere in this Quarterly Report on Form 10-Q for the three and six months ended June 30, 2026. In addition, this Report on Form 10-Q should be read in conjunction with our Annual Report on Form 10-K for the year ended December 31, 2025, as filed with the U.S. Securities and Exchange Commission (“SEC”) on March 23, 2026.</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Unless the context otherwise requires, all references to “Cardinal Group,” the “Company,” “we,” “us” and “our” in this Quarterly Report on Form 10-Q (this “Report”) refer to Cardinal Infrastructure Group Inc., and unless otherwise stated, its consolidated subsidiaries. All references to “PubCo” in this Report refer to Cardinal Infrastructure Group Inc. and all references in this Report to “Cardinal” and “OpCo” refer to Cardinal Civil Contracting Holdings LLC.</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Cautionary Statement Regarding Forward-Looking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are discussed elsewhere in this Report and in “Part I. Item 1A. Risk Factors” in our 2025 Form 10-K all of which are difficult to predict. In light of these risks, uncertainties and assumptions, the forward-looking statements discussed may not occur. We do not undertake any obligation to publicly update any forward-looking statements except as otherwise required by applicable law.</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This Report contains forward-looking statements. Statements that are predictive in nature, that depend upon or refer to future events or conditions or that include the words “may,” “could,” “plan,” “project,” “budget,” “predict,” “pursue,” “target,” “seek,” “objective,” “believe,” “expect,” “anticipate,” “intend,” “estimate,” “will,” and other expressions that are predictions of or indicate future events and trends and that do not relate to historical matters identify forward-looking statements. Our forward-looking statements include statements about our business strategy, our industry, our future profitability, our expected capital expenditures and the impact of such expenditures on our performance, the costs of being a publicly traded corporation and our capital programs.</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A forward-looking statement may include a statement of the assumptions or bases underlying the forward-looking statement. We believe that we have chosen these assumptions or bases in good faith and that they are reasonable. You are cautioned not to place undue reliance on any forward-looking statements. You should also understand that it is not possible to predict or identify all such factors and should not consider the following list to be a complete statement of all potential risks and uncertainties. Factors that could cause our actual results to differ materially from the results contemplated by such forward-looking statements include: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our ability to predict demand for our services may decrease during economic recessions or volatile economic cycles, and a reduction in demand in end markets may adversely affect our business;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our market opportunity and the potential growth of that market;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competition for projects in our local markets;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our ability to expand into new regions;</w:t>
      </w:r>
    </w:p>
    <w:p>
      <w:pPr>
        <w:pStyle w:val="TextBody"/>
        <w:bidi w:val="0"/>
        <w:spacing w:before="120" w:after="283"/>
        <w:jc w:val="both"/>
        <w:rPr>
          <w:rFonts w:ascii="Times New Roman" w:hAnsi="Times New Roman"/>
          <w:sz w:val="20"/>
        </w:rPr>
      </w:pPr>
      <w:r>
        <w:rPr>
          <w:rFonts w:ascii="Times New Roman" w:hAnsi="Times New Roman"/>
          <w:i/>
          <w:color w:val="000000"/>
          <w:sz w:val="20"/>
        </w:rPr>
        <w:t> our ability to successfully identify, manage and integrate acquisitions;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our strategy, expected outcomes, and growth prospects;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trends in our operations, industry, and markets;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our future profitability, indebtedness, liquidity, access to capital, and financial condition;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the effects of seasonal trends or weather conditions on our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the impact of inflation on costs of labor, materials and other items that are critical to our business;</w:t>
      </w:r>
    </w:p>
    <w:p>
      <w:pPr>
        <w:pStyle w:val="TextBody"/>
        <w:bidi w:val="0"/>
        <w:spacing w:before="120" w:after="283"/>
        <w:jc w:val="both"/>
        <w:rPr>
          <w:rFonts w:ascii="Times New Roman" w:hAnsi="Times New Roman"/>
          <w:sz w:val="20"/>
        </w:rPr>
      </w:pPr>
      <w:r>
        <w:rPr>
          <w:rFonts w:ascii="Times New Roman" w:hAnsi="Times New Roman"/>
          <w:i/>
          <w:color w:val="000000"/>
          <w:sz w:val="20"/>
        </w:rPr>
        <w:t> the cancellation of a significant number of contracts or our disqualification from bidding for new contracts;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the increased expenses associated with being a public company;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our ability to remain in compliance with extensive laws and regulations that apply to our business and operations;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the future trading prices of our Class A Common Stock.</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Although forward-looking statements reflect our good faith beliefs at the time they are made, forward-looking statements involve known and unknown risks, uncertainties and other factors, including the factors described under “Risk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changed circumstances or otherwise, unless required by law. These cautionary statements qualify all forward-looking statements attributable to us or persons acting on our behalf.</w:t>
      </w:r>
    </w:p>
    <w:p>
      <w:pPr>
        <w:pStyle w:val="TextBody"/>
        <w:bidi w:val="0"/>
        <w:spacing w:before="120" w:after="283"/>
        <w:jc w:val="both"/>
        <w:rPr>
          <w:rFonts w:ascii="Times New Roman" w:hAnsi="Times New Roman"/>
          <w:sz w:val="20"/>
        </w:rPr>
      </w:pPr>
      <w:r>
        <w:rPr>
          <w:rFonts w:ascii="Times New Roman" w:hAnsi="Times New Roman"/>
          <w:i/>
          <w:color w:val="000000"/>
          <w:sz w:val="20"/>
        </w:rPr>
        <w:t>As described in “Part I. Item 2. Management’s Discussion and Analysis of Financial Condition and Results of Operations —</w:t>
      </w:r>
      <w:r>
        <w:rPr>
          <w:rFonts w:ascii="Times New Roman" w:hAnsi="Times New Roman"/>
          <w:color w:val="000000"/>
          <w:sz w:val="20"/>
        </w:rPr>
        <w:t xml:space="preserve"> </w:t>
      </w:r>
      <w:r>
        <w:rPr>
          <w:rFonts w:ascii="Times New Roman" w:hAnsi="Times New Roman"/>
          <w:i/>
          <w:color w:val="000000"/>
          <w:sz w:val="20"/>
        </w:rPr>
        <w:t>Initial Public Offering and Reorganization,” Cardinal Group is a holding company that conducts no operations and our principal asset is the LLC units of Cardinal acquired in connection with the completion of our IPO on December 11, 2025 and the Reorganization made prior to the IPO, including with respect to our operating entities Cardinal and Cardinal NC. Prior to the IPO, all of our business was conducted through Cardinal NC.</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Cardinal Group is the sole managing member of Cardinal. Although Cardinal Group has a minority economic interest in Cardinal, we have the sole voting interest in, and operate and control all of the business and affairs of, Cardinal and its subsidiaries, and through Cardinal conduct our business. As a result, Cardinal Group consolidates Cardinal and has recorded a significant noncontrolling interest in a consolidated entity in our condensed consolidated financial statements for the economic interest in Cardinal held by the Continuing Equity Holders.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Because the IPO and the Reorganization resulted in a change to our organizational structure, the historical financial statements, which do not reflect certain items that affect our results of operations and financial position since the IPO and the Reorganization, may not give you an accurate indication of what our actual results would have been if the transactions had been completed at the beginning of the periods presented or of what our future results of operations are likely to be. This section of this Report on Form 10-Q generally discusses fiscal quarters ended June 30, 2026 and 2025 items and year-to-year comparisons between the six months ended June 30, 2026 and 2025. The comparison of the consolidated financial results for the fiscal quarter and six months ended June 30, 2025 refers only to Cardinal and its subsidiaries.</w:t>
      </w:r>
    </w:p>
    <w:p>
      <w:pPr>
        <w:pStyle w:val="TextBody"/>
        <w:bidi w:val="0"/>
        <w:jc w:val="center"/>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Cardinal Infrastructure Group Inc. ("Cardinal," the "Company," "we," "us," or "our") is a full-service, turnkey infrastructure services company operating in the Southeastern United States, specifically North Carolina, South Carolina and Georgia. We provide a comprehensive suite of infrastructure services to the residential, commercial, industrial, municipal, and state infrastructure markets, including wet utility installations, grading, site clearing, erosion control, drilling and blasting, paving, and related site services. We deliver these services primarily through in-house crews and a fleet of specialized equipment, which enables us to maintain quality control, schedule certainty, and cost efficiency across our project portfolio.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recent growth has been driven by a three-part strategy: (i) vertical integration within our core markets, which allows us to self-perform a broader scope of work, compress project schedules and retain margin; (ii) expansion and diversification across the end markets we serve, including residential, commercial, industrial, municipal and state infrastructure; and (iii) selective acquisitions that broaden our geographic footprint, expand our employee base and add complementary service capabilities.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strategy is grounded in operational discipline, market expansion and a commitment to Integrity from the Ground Up. Our workforce is the foundation of the Company, and we invest in our crews through structured training, field-based development and disciplined jobsite safety practices. Our strong culture of safety is also core to the schedule certainty and quality that differentiate us in the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customers include national homebuilders, residential developers, commercial and industrial property owners, general contractors, municipalities, and state agencies. The following discussion and analysis should be read in conjunction with the unaudited condensed consolidated financial statements and notes included in Part I, Item 1 of this Quarterly Report, and with our Annual Report on Form 10-K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Transactions</w:t>
      </w:r>
    </w:p>
    <w:p>
      <w:pPr>
        <w:pStyle w:val="TextBody"/>
        <w:bidi w:val="0"/>
        <w:spacing w:before="1"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May 29, 2026, a subsidiary of the Company, Cardinal Civil Contracting Charlotte, LLC, acquired substantially all of the operating assets and certain liabilities of Piedmont Pipe Construction, Inc., a North Carolina corporation ("Piedmont"). Piedmont provides water systems, sewage, and storm drain work for residential, commercial, and industrial projects across North Carolina and South Carolina.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18, 2026, we acquired Sugar Hill, Georgia-based A.L. Grading Contractors (“ALGC”). A fourth-generation, high-growth market leader, ALGC provides comprehensive site development solutions, including grading, underground utilities, erosion control, and clearing, supporting large-scale commercial, industrial, and residential construction in Georgia and South Carolina.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acquisitions are consistent with our strategy of acquiring either a tuck-in acquisition in core markets, or a platform acquisition in a new geography and represents a further step in Cardinal's expansion into the Southeast.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3 – Business Combinations to our Unaudited Condensed Consolidated Financial Statements for further information.</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Initial Public Offering and Reorganization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discussed above under Note 1 – Organization and Description of Business to our Unaudited Condensed Consolidated Financial Statements, we completed our IPO of 11,500,000 shares of our Class A Common Stock at a price to the public of $21.00 per share on December 11, 2025, and on December 12, 2025, pursuant to the exercise in full of the underwriters’ option, Cardinal Infrastructure Group Inc. completed the sale of an additional 1,725,000 shares of its Class A Common Stock at a price to the public of $21.00 per share. The gross proceeds from the IPO, including the exercise in full of the sale of the additional shares, were approximately $277.7 million, before deducting underwriting discounts and commissions. We used the net proceeds from the IPO to purchase 14,943,750 newly issued LLC Units from Cardinal for approximately $258.3 million in aggregate and became the sole managing member of Cardinal. In connection with the IPO, we also issued 23,387,813 shares of our Class B Common Stock to the Continuing Equity Holders, which is equal to the number of LLC units held by such Continuing Equity Holders, at the time of such issuance of Class B Common Stock, for nominal consideration. As a result of the above, Cardinal Group is a holding company with no direct operations and our principal asset is our equity interest in Cardinal. Prior to the IPO, all of our business was conducted through Cardinal NC. See Note 1 – Organization and Description of Business to our Unaudited Condensed Consolidated Financial Statements included under “Item 1. Financial Statements” of this Report for further discussion of the Reorganization made prior to and in connection with the IPO.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our future performance will depend on many factors, including those described in Part II, Item 7. Management’s Discussion and Analysis of Financial Condition and Results of Operations of our 2025 10-K, to which there have been no material changes.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Consolidated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statements of income for the three and six months ended June 30, 2026, and 2025, along with certain data in percentages: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30"/>
        <w:gridCol w:w="211"/>
        <w:gridCol w:w="1141"/>
        <w:gridCol w:w="271"/>
        <w:gridCol w:w="146"/>
        <w:gridCol w:w="211"/>
        <w:gridCol w:w="1141"/>
        <w:gridCol w:w="271"/>
        <w:gridCol w:w="146"/>
        <w:gridCol w:w="211"/>
        <w:gridCol w:w="1141"/>
        <w:gridCol w:w="271"/>
        <w:gridCol w:w="146"/>
        <w:gridCol w:w="211"/>
        <w:gridCol w:w="1141"/>
        <w:gridCol w:w="416"/>
      </w:tblGrid>
      <w:tr>
        <w:trPr/>
        <w:tc>
          <w:tcPr>
            <w:tcW w:w="3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226,934,438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106,110,909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394,443,154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187,912,174</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excluding depreciation and amortization shown separately below</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190,886,964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83,511,347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324,206,047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148,789,325</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9,024,651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2,965,982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19,166,782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5,091,952</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11,593,373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7,887,993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20,863,131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14,486,834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property and equipment</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(48,998</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(51,395</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(110,945</w:t>
            </w:r>
          </w:p>
        </w:tc>
        <w:tc>
          <w:tcPr>
            <w:tcW w:w="41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15,478,448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11,745,587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30,258,589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19,655,008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3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Margin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3,466,263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2,607,468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1,875,001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1,875,001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241,407</w:t>
            </w:r>
          </w:p>
        </w:tc>
        <w:tc>
          <w:tcPr>
            <w:tcW w:w="41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before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10,137,184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10,164,388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22,671,449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16,806,133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(1,011,122</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714,261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42,107</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714,261</w:t>
            </w:r>
          </w:p>
        </w:tc>
        <w:tc>
          <w:tcPr>
            <w:tcW w:w="41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11,148,306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9,450,127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22,629,342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16,091,872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3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margin</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6,472,939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2,282,422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14,535,537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3,447,186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3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attributable to Cardinal Infrastructure Group Inc.</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4,675,367</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7,167,705</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8,093,805</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12,644,686</w:t>
            </w:r>
          </w:p>
        </w:tc>
        <w:tc>
          <w:tcPr>
            <w:tcW w:w="4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Quarter Ended June 30, 2026, Compared to Quarter Ended June 30, 2025</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jc w:val="both"/>
        <w:rPr>
          <w:rFonts w:ascii="Times New Roman" w:hAnsi="Times New Roman"/>
          <w:color w:val="000000"/>
          <w:sz w:val="20"/>
        </w:rPr>
      </w:pPr>
      <w:r>
        <w:rPr>
          <w:rFonts w:ascii="Times New Roman" w:hAnsi="Times New Roman"/>
          <w:color w:val="000000"/>
          <w:sz w:val="20"/>
        </w:rPr>
        <w:t>Revenues were $226.9 million for the three months ended June 30, 2026, an increase of $120.8 million or 114%, compared to 106.1 million for the quarter ended June 30, 2025. The increase in Revenues was driven by approximately $68.1 million of organic growth and $52.7 million of acquisition-related revenue growth. Organic growth reflects higher volume from increased residential demand across the Company's footprint and contributions from ongoing end use market/customer diversification initiatives.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revenues were $190.9 million for the quarter ended June 30 2026, an increase of $107.4 million or 129% compared to $83.5 million for the quarter ended June 30, 2025. The increase was primarily associated with organic and acquisition-related growth, including increased subcontracted labor and equipment rental costs to support significant customer demand. The increase also reflects a shift in end-market mix toward larger commercial and industrial projects, which carry different labor and equipment deployment requirements than the Company's historical residential-weighted project base.</w:t>
      </w:r>
    </w:p>
    <w:p>
      <w:pPr>
        <w:pStyle w:val="TextBody"/>
        <w:bidi w:val="0"/>
        <w:spacing w:before="360" w:after="283"/>
        <w:jc w:val="both"/>
        <w:rPr>
          <w:rFonts w:ascii="Times New Roman" w:hAnsi="Times New Roman"/>
          <w:sz w:val="20"/>
        </w:rPr>
      </w:pPr>
      <w:r>
        <w:rPr>
          <w:rFonts w:ascii="Times New Roman" w:hAnsi="Times New Roman"/>
          <w:b/>
          <w:i/>
          <w:color w:val="000000"/>
          <w:sz w:val="20"/>
        </w:rPr>
        <w:t>Gross Profit and Gross Profit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was 24.5 million for the three months ended June 30, 2026, an increase of $9.8 million or 67% compared to 14.7 million for the three months ended June 30, 2025. The increase in Gross Profit was primarily driven by both strong organic and acquisition-related revenue growth, partially offset by an increase in cost of revenues associated with overall business growth.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Margin declined to 10.8% for the three months ended June 30, 2026, as compared to 13.9% for the three months ended June 30, 2025. The decrease in Gross Profit Margin reflects the increased cost of revenues discussed above, as well as higher amortization expense from intangible assets recognized in connection with 2025 and 2026 acquisitions. Gross Profit Margin was further impacted by end-market diversification, which carries different deployment schedules and a lower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initial margin profile than the Company's historical residential-weighted project base. The Company expects margin performance to improve over time as these markets mature and scale benefits are realized. Intense weather-related disruptions in parts of the Southeast further weighted on results.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were $9.0 million, or 4% of revenue, for the three months ended June 30, 2026, compared to $3.0 million, or 2.8% of revenue, for the three months ended June 30, 2025. The increase was primarily attributable to non-recurring acquisition-related costs as well as the Company's transition to operating as a public company, including increased compliance, governance, and reporting costs. The Company also increased headcount across its operations and corporate functions, including estimating, to support continued growth and the Company's maturation as a public company. Excluding non-recurring impacts, continuing general and administrative expenses were 4% of revenue for the three months ended June 30,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Depreciation and amortization was $11.6 million for the three months ended June 30, 2026, compared to $7.9 million for the three months ended June 30, 2025. The increase was primarily driven by intangible assets recognized as part of purchase accounting and equipment purchased through 2025 and early 2026 acquisitions, as well as increased depreciation related to recent capital expenditures for the Company’s legacy operations. The increase was partially offset by a change in the Company's depreciation method for fixed assets from the accelerated method to straight-line, effective January 1, 2026, which resulted in a reduction of depreciation expense of approximately $2.4 million for the three months ended June 30, 2026.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net was $3.5 million for the three months ended June 30, 2026, compared to $1.6 million for the three months ended June 30, 2025. The increase was primarily attributable to higher outstanding debt to finance our acquisitions completed in 2025 and early 2026, partially offset by an increase in interest income of $0.9 million.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other expenses, net for the three months ended June 30, 2026 reflect an increase in the tax receivable agreement liability of $2.0 million related to changes in estimated tax attributes.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income tax expense was ($1.0) million for the three months ended June 30, 2026 as compared with $0.7 million for the three months ended June 30, 2025. In 2025, subsequent to the first quarter, the Company elected to pay the North Carolina Pass-Through Entity tax on behalf of its members, with a statutory rate of 4.5% in 2024 and 4.25% in 2025. Following the Reorganization, the Company is subject to U.S. federal, state, and local income taxes on its share of Cardinal's taxable income. Accordingly, income tax expense for the quarter ended June 30, 2026 reflects a fundamentally different tax profile than in prior years. Changes in estimates related to the Company's deferred tax agreement are also reflected in income tax expense for the quarter ended June 30, 2026.</w:t>
      </w:r>
    </w:p>
    <w:p>
      <w:pPr>
        <w:pStyle w:val="TextBody"/>
        <w:bidi w:val="0"/>
        <w:spacing w:before="360" w:after="283"/>
        <w:jc w:val="both"/>
        <w:rPr>
          <w:rFonts w:ascii="Times New Roman" w:hAnsi="Times New Roman"/>
          <w:sz w:val="20"/>
        </w:rPr>
      </w:pPr>
      <w:r>
        <w:rPr>
          <w:rFonts w:ascii="Times New Roman" w:hAnsi="Times New Roman"/>
          <w:b/>
          <w:i/>
          <w:color w:val="000000"/>
          <w:sz w:val="20"/>
        </w:rPr>
        <w:t>Net Income Attributable to Noncontrolling Interests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net income attributable to noncontrolling interest was $6.5 million for the three months ended June 30, 2026, a 183.6% increase compared to $2.3 million for the three months ended June 30, 2025. The $4.2 million increase primarily reflects the share of net income allocated to Continuing Equity Holders of LLC units following the IPO. This was partially offset by lower income attributed to minority interest after the Company acquired the remaining ownership interests as a result of the Reorganization transactions in September 2025. As the Company operates under an Up-C arrangement, the ownership attributed to OpCo units held by Continuing Equity Holders is presented as noncontrolling interests on the condensed consolidated balance sheets and income attributable to those units is recognized in proportion to their ownership as an increase to net income attributable to noncontrolling interests in the Condensed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jc w:val="both"/>
        <w:rPr>
          <w:rFonts w:ascii="Times New Roman" w:hAnsi="Times New Roman"/>
          <w:color w:val="000000"/>
          <w:sz w:val="20"/>
        </w:rPr>
      </w:pPr>
      <w:r>
        <w:rPr>
          <w:rFonts w:ascii="Times New Roman" w:hAnsi="Times New Roman"/>
          <w:color w:val="000000"/>
          <w:sz w:val="20"/>
        </w:rPr>
        <w:t>Revenues were $394.4 million for the six months ended June 30, 2026, an increase of $206.5 million or 109.9%, compared to $187.9 million for the six months ended June 30, 2025. The increase in Revenues was driven by approximately $120.2 million of organic growth and $86.3 million of acquisition-related revenue growth. Organic growth reflects higher volume from increased residential demand across North Carolina and contributions from ongoing end use market/customer diversification initiatives.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revenues were $324.2 million for the six months ended June 30, 2026, an increase of $175.4 million or 117.9% compared to $148.8 million for the six months ended June 30, 2025. The increase was primarily associated with organic and acquisition-related growth, including increased subcontracted labor and equipment rental costs to support significant customer demand. The increase also reflects a shift in end-market mix toward larger commercial and industrial projects, which carry different labor and equipment deployment requirements than the Company's historical residential-weighted project base.</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Gross Profit and Gross Profit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was $49.4 million for the six months ended June 30, 2026, an increase of $24.7 million, compared to $24.6 million for the six months ended June 30, 2025. The increase in Gross Profit was primarily driven by both strong organic and acquisition-related revenue growth, partially offset by an increase in cost of revenues associated with overall business growth.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Margin declined to 12.5% for the six months ended June 30, 2026, as compared to 13.1% for the six months ended June 30, 2025. Gross Profit Margin was impacted in part by higher amortization expense resulting from intangible assets recognized as part of 2025 and 2026 acquisitions. Gross Profit Margin was further impacted by end-market diversification, which carries different deployment schedules and a lower initial margin profile than the Company's historical residential-weighted project base. The Company expects margin performance to improve over time as these markets mature and scale benefits are realized.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were $19.2 million, or 4.9% of revenue, for the six months ended June 30, 2026, compared to $5.1 million, or 2.7% of revenue, for the six months ended June 30, 2025. The increase was primarily attributable to non-recurring acquisition-related costs as well as the Company's transition to operating as a public company, including increased compliance, governance, and reporting costs. The Company also increased headcount across its operations and corporate functions, including estimating, to support continued growth and the Company's maturation as a public company. Excluding non-recurring impacts, continuing general and administrative expenses were 4% of revenue for the six months ended June 30,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Depreciation and amortization was $20.9 million for the six months ended June 30, 2026, compared to $14.5 million for the six months ended June 30, 2025. The increase was primarily driven by intangible assets recognized as part of purchase accounting and equipment purchased through 2025 and early 2026 acquisitions, as well as increased depreciation related to recent capital expenditures for the Company’s legacy operations. The increase was partially offset by a change in the Company's depreciation method for fixed assets from the accelerated method to straight-line, effective January 1, 2026, which resulted in a reduction of depreciation expense of approximately $3.0 million for the six months ended June 30, 2026.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net was $5.7 million for the six months ended June 30, 2026, compared to $2.6 million for the six months ended June 30, 2025. The increase was primarily attributable to higher outstanding debt to finance our acquisitions completed in 2025 and early 2026, partially offset by an increase in interest income of $0.6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other expenses, net for the six months ended June 30, 2026 reflect an increase in the Company's tax receivable agreement liability of $1.97 million related to changes in estimated tax attributes.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income tax expense was $0.04 million for the six months ended June 30, 2026 as compared with $0.71 million for the six months ended June 30, 2025. In 2025, subsequent to the first quarter, the Company elected to pay the North Carolina Pass-Through Entity tax on behalf of its members, with a statutory rate of 4.5% in 2024 and 4.25% in 2025. Following the Reorganization, the Company is subject to U.S. federal, state, and local income taxes on its share of Cardinal's taxable income. Accordingly, income tax expense for the six months ended June 30, 2026 reflects a fundamentally different tax profile than in prior years. Changes in estimates related to the Company's deferred tax agreement are also reflected in year-to-date 2026 income tax expense.</w:t>
      </w:r>
    </w:p>
    <w:p>
      <w:pPr>
        <w:pStyle w:val="TextBody"/>
        <w:bidi w:val="0"/>
        <w:spacing w:before="360" w:after="283"/>
        <w:jc w:val="both"/>
        <w:rPr>
          <w:rFonts w:ascii="Times New Roman" w:hAnsi="Times New Roman"/>
          <w:sz w:val="20"/>
        </w:rPr>
      </w:pPr>
      <w:r>
        <w:rPr>
          <w:rFonts w:ascii="Times New Roman" w:hAnsi="Times New Roman"/>
          <w:b/>
          <w:i/>
          <w:color w:val="000000"/>
          <w:sz w:val="20"/>
        </w:rPr>
        <w:t>Net Income Attributable to Noncontrolling Interests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net income attributable to noncontrolling interest was $14.5 million for the six months ended June 30, 2026, a 321.7% increase compared to $3.4 million for the six months ended June 30, 2025. The $11.1 million increase primarily reflects the share of net income allocated to Continuing Equity Holders of LLC units following the IPO. This was partially offset by lower income attributed to minority interest after the Company acquired the remaining ownership interests as a result of the Reorganization transactions in September 2025. As the Company operates under an Up-C arrangement, the ownership attributed to OpCo units held by Continuing Equity Holders is presented as noncontrolling interests on the condensed consolidated balance sheets and income attributable to those units is recognized in proportion to their ownership as an increase to net income attributable to noncontrolling interests in the Condensed Consolidated Statements of Operations.</w:t>
      </w:r>
    </w:p>
    <w:p>
      <w:pPr>
        <w:pStyle w:val="TextBody"/>
        <w:bidi w:val="0"/>
        <w:spacing w:before="360" w:after="283"/>
        <w:jc w:val="both"/>
        <w:rPr>
          <w:rFonts w:ascii="Times New Roman" w:hAnsi="Times New Roman"/>
          <w:sz w:val="20"/>
        </w:rPr>
      </w:pPr>
      <w:r>
        <w:rPr>
          <w:rFonts w:ascii="Times New Roman" w:hAnsi="Times New Roman"/>
          <w:b/>
          <w:color w:val="000000"/>
          <w:sz w:val="20"/>
        </w:rPr>
        <w:t>Liquidity and Sources of Capital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existing cash, availability under our October 2025 Credit Facility and positive cash flows from operations will be sufficient to support working capital and capital expenditure requirements for at least the next 12 months. We have historically generated cash and funded our operations primarily from cash flows from operating activities as well as availability under our credit facilities and other borrowings. We exercise strict controls and have a prudent strategy for our cash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coming 12 months, our primary funding needs will revolve around the completion of projects and operating expenses, including interest on our October 2025 Credit Facility. Additionally, we may seek to use our capital to enter new markets or expand in current markets through acquisitions or greenfield startups if we believe such markets fit our business model. To address these short-term liquidity requirements, we anticipate relying on our existing cash and cash equivalents, as well as the net cash flows generated by our operations and availability under our October 2025 Credit Facility. However, we remain open to seeking additional capital if necessary to enhance our liquidity position, further enable strategic acquisitions, and fortify our long-term capital structure.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Looking beyond the next 12 months, our primary funding needs will continue to center around project management, growth into new and existing markets, and interest payments on our October 2025 Credit Facility. We expect our existing cash reserves, along with generated cash flows and availability under our October 2025 Credit Facility, will be sufficient to fund our ongoing operational activities and provide the necessary capital for future projects and related growth strategies.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our current liquidity is insufficient to fund future activities, we may need to raise additional funds, such as refinancing or securing new secured or unsecured debt, issuing common and preferred equity, disposing of certain assets to fund our operations, and/or other public or private sources of capital.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assure you that we could obtain refinancing or additional financing on favorable terms or at all. See “Part I. Item 1A. Risk Factors — Access to financing sources may not be available on favorable terms, or at all, especially in light of current market conditions, which could adversely affect our ability to maximize our returns.” in our 2025 Form 10-K.</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cash at June 30, 2026 and 2025 were $339.1 million and $19.2 million, respectively. The following table presents consolidated information about cash flows:</w:t>
      </w:r>
    </w:p>
    <w:p>
      <w:pPr>
        <w:pStyle w:val="TextBody"/>
        <w:bidi w:val="0"/>
        <w:spacing w:before="120" w:after="283"/>
        <w:jc w:val="both"/>
        <w:rPr/>
      </w:pPr>
      <w:r>
        <w:rPr/>
        <w:t> </w:t>
      </w:r>
    </w:p>
    <w:tbl>
      <w:tblPr>
        <w:tblW w:w="6482" w:type="dxa"/>
        <w:jc w:val="left"/>
        <w:tblInd w:w="0" w:type="dxa"/>
        <w:tblLayout w:type="fixed"/>
        <w:tblCellMar>
          <w:top w:w="28" w:type="dxa"/>
          <w:left w:w="28" w:type="dxa"/>
          <w:bottom w:w="28" w:type="dxa"/>
          <w:right w:w="28" w:type="dxa"/>
        </w:tblCellMar>
      </w:tblPr>
      <w:tblGrid>
        <w:gridCol w:w="2656"/>
        <w:gridCol w:w="146"/>
        <w:gridCol w:w="146"/>
        <w:gridCol w:w="146"/>
        <w:gridCol w:w="146"/>
        <w:gridCol w:w="211"/>
        <w:gridCol w:w="1201"/>
        <w:gridCol w:w="166"/>
        <w:gridCol w:w="146"/>
        <w:gridCol w:w="211"/>
        <w:gridCol w:w="1096"/>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21,995,424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(167,083,621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(41,616,509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387,031,061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23,554,116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241,942,864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(1,740,311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provided by operating activities was $22.0 million compared to net cash provided by operating activities of $16.3 million for the six months ended June 30, 2025. The $5.7 million increase is attributable to higher income net of depreciation and amortization, partially offset by increased working capital requirements associated with company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net cash used in investing activities was $167.1 million compared to net cash used of $41.6 million for the six months ended June 30, 2025. The $125.5 million increase was primarily due to the acquisitions of ALGC and Piedmont.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provided by financing activities was $387.0 million compared to net cash provided of $23.6 million for the six months ended June 30, 2025. The $363.5 million increase was primarily driven by the Company's follow-on offering of Class A Common Stock in the second quarter, as well as increased proceeds from notes payable, primarily to fund the acquisition of ALGC.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Credit Facilities, Debt and Other Capital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our available cash and cash provided by operations, from time to time we use borrowings to finance acquisitions, our capital expenditures and working capital needs.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October 2025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1, 2025, Cardinal NC, Cardinal and our wholly owned subsidiaries entered into a credit facility (the “October 2025 Credit Facility”) with Truist Bank, as administrative agent and lender, and the other lenders thereto from time to time, which refinanced the approximately $6.3 million outstanding under the senior secured credit facility dated as of October 18, 2024 with Truist Bank as lender thereto and refinanced the approximately $74.8 million outstanding under the master equipment security agreement dated as of October 21, 2024, as amended, with Truist Equipment Finance Corp as lender thereto (the “Equipment Facility”). Cardinal Group is not a party to the October 2025 Credit Facility. The October 2025 Credit Facility, among other things, (i) established a revolving credit facility of $75.0 million in aggregate principal amount, including a $10.0 million letter of credit sub-facility and a $10.0 million swingline sub-facility and (ii) established a term loan facility of $120.0 million in aggregate principal amount. The October 2025 Credit Facility has a maturity date of October 1, 2030. The obligations under the October 2025 Credit Facility are secured by substantially all of our assets and the assets of the subsidiary guarantors.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commitments under the revolving credit facility terminate on October 1, 2030. Amounts under the term loan facility are subject to amortization in quarterly installments, commencing on March 31, 2026 in aggregate annual amounts equal to, (i) during the first and second years, five percent of the original amount borrowed and (ii) during the third, fourth and fifth years, seven and one-half of one percent of the original amount borrowed, with the remaining principal balance advanced under the term loan facility due on October 1, 2030.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Borrowings under the October 2025 Credit Facility bear interest, at the borrower’s option, at either the base rate, SOFR Index or Term SOFR (which Term SOFR borrowings may be based on 1-, 3- or 6-month interest periods, in each case at the borrower’s option), plus an applicable margin. The applicable margin ranges from 0.875% to 1.625% per annum with respect to base rate borrowings and 1.875% to 2.625% per annum with respect to SOFR index and Term SOFR borrowings, in each case based on our leverage ratio as determined in accordance with a pricing grid set forth in the October 2025 Credit Facility. Interest is payable quarterly in arrears on the last day of each March, June, September and December. The October 2025 Credit Facility contains certain financial covenants, among others, including requirements commencing with the fiscal quarter ending March 31, 2026 to maintain a maximum leverage ratio of no greater than 2.50x and a minimum consolidated fixed charge coverage ratio of not less than 1.25x, in each case, tested on a quarterly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October 2025 Credit Facility contains certain covenants that restrict certain activities of Cardinal Group and its subsidiaries. The October 2025 Credit Facility also contains customary events of default relating to, among other things, failure to make interest and principal payments when due and payable, breach of certain covenants and breach of representations and warranties. If an event of default occurs and is continuing, the borrowers may be required immediately to repay all amounts outstanding under the October 2025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outstanding borrowings under the term loan facility of the October 2025 Credit Facility totaled $195.0 million and we had no outstanding borrowings under the revolving facility of the October 2025 Credit Facility. As of June 30, 2026, Cardinal was in compliance with all covenants under the October 2025 Facility.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Rate Swap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2026, Cardinal entered into an interest rate swap for $60.0 million of the total facility, with principal payment terms that match the October 2025 Facility, which is the underlying credit facility. Terms of the swap fix the overall rate assuming a term SOFR rate at 3.8%.</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February 2026 Credit Facility Amendment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18, 2026, Cardinal and other guarantors party thereto entered into an amendment to the October 2025 Credit Facility (the "First Amendment") with Truist Bank, as administrative agent and lender. Under the First Amendment, the lenders provided an additional $80.0 million in term loans on the amendment effective date. The additional borrowing was made to fund the acquisition of ALGC. The additional advance was not provided as an incremental facility under the October 2025 Credit Facility and does not reduce the facility's remaining incremental capacity.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Equipment 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Cardinal entered into a $1,087,500 Note Payable with First American Commercial Bankcorp., Inc. to finance equipment. Interest on the Note Payable is based on Compounded SOFR, calculated daily, with interest payable monthly and scheduled monthly principal amortization. The Note Payable matures January 1, 2031. Monthly principal installments of $7,552 are due through December 1, 2030, with the remaining principal balance of $641,927 due as a final balloon payment on January 1, 2031.</w:t>
      </w:r>
    </w:p>
    <w:p>
      <w:pPr>
        <w:pStyle w:val="TextBody"/>
        <w:bidi w:val="0"/>
        <w:spacing w:before="12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2026, four separate equipment financing notes were entered into in an aggregate original principal amount of $3,412,020, used to finance the purchase of heavy construction equipment, payable in 48 equal monthly installments of principal (and interest, where applicable) commencing July 11, 2026 and maturing June 2030. Aggregate monthly payments under the notes are approximately $73,302. The notes consist of a $1,361,540 note bearing interest at a fixed rate of 3.74% per annum, a $578,200 non-interest-bearing note, a $668,300 non-interest-bearing note, and a $803,980 non-interest-bearing note.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Compliance and 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October 2025 Credit Facility contains various affirmative and negative covenants that may, subject to certain exceptions, restrict our ability and the ability of our subsidiaries to, among other things, grant liens, incur additional indebtedness, make loans, advances or other investments, make non-ordinary course asset sales, declare or pay dividends or make other distributions with respect to equity interests, purchase, redeem or otherwise acquire or retire capital stock or other equity interests, or merge or consolidate with any other person, among various other things. In addition, Cardinal is required to maintain certain financial covenants, including, among others, requirements commencing with the fiscal quarter ending March 31, 2026 to maintain a maximum leverage ratio of no greater than 2.50x and a minimum consolidated fixed charge coverage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ratio of not less than 1.25x, in each case, tested on a quarterly basis. As of December 31, 2025, we were in compliance with all of our restrictive and financial covenants. Our debt is recorded at its carrying amount in the Condensed Consolidated Balance Sheets. Based upon the current market rates for debt with similar credit risk and maturities, at June 30, 2026 the fair value of our debt outstanding approximated the carrying value, as interest is based on Term SOFR (as defined in the October 2025 Credit Agreement) plus an applicable margin.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Finance 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Cardinal has equipment under finance leases that have payments through various dates with the earliest lease beginning in July 2022 and the final lease expiring in December 2028. As of June 30, 2026, Cardinal had a total of $8.0 million of minimum finance lease payments remaining. The assets and liabilities under the finance leases are recorded at the present value of the future minimum lease payments using a weighted-average discount rate of 4.83%. As of June 30, 2026, the weighted-average remaining lease term was 2.23 years. Further information regarding finance leases can be found in </w:t>
      </w:r>
      <w:r>
        <w:rPr>
          <w:rFonts w:ascii="Times New Roman" w:hAnsi="Times New Roman"/>
          <w:i/>
          <w:color w:val="000000"/>
          <w:sz w:val="20"/>
        </w:rPr>
        <w:t>Note 8 — Leases</w:t>
      </w:r>
      <w:r>
        <w:rPr>
          <w:rFonts w:ascii="Times New Roman" w:hAnsi="Times New Roman"/>
          <w:color w:val="000000"/>
          <w:sz w:val="20"/>
        </w:rPr>
        <w:t xml:space="preserve"> to Cardinal’s unaudited financial statements included elsewhere in this Report for more information.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Borrowings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existing cash, cash flows from operations and our other borrowings will be sufficient to support working capital and capital expenditure requirements for at least the next 12 months. Furthermore, we are continually assessing ways to increase revenues and reduce costs to improve liquidity. However, in the event of a substantial cash constraint, and if we were unable to secure adequate debt financing, our liquidity could be materially and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Issuance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24, 2026, we completed an underwritten public offering of our Class A Common Stock, selling an aggregate of 4,600,000 shares (which included 600,000 shares of Class A Common Stock issued upon full exercise of the underwriters’ over-allotment option), at a price of $73.00 per share resulting in net proceeds to us of approximately $318.4 million, after underwriting discount and commission and expenses. We used $33 million of such net proceeds to repay borrowings outstanding under the October 2025 Credit Facility and intend to use the remaining net proceeds for general corporate purposes, which may include funding for acquisitions, working capital requirements, capital expenditures and the repayment, refinancing, redemption or repurchase of indebtedness or other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our available cash and cash provided by operations and borrowings, from time to time we may issue additional shares of common stock to finance acquisitions, working capital requirements, capital expenditures and the repayment, refinancing, redemption or repurchase of indebtedness or other securities.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Bonding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Surety bonds are required in substantially all publicly funded construction projects (DOT and municipal) but are not typically required for private sector work. For the quarter ended June 30, 2026, we generated approximately 3% of our revenue from publicly funded construction projects. In situations where our customers require it, we procure surety bonds to secure our performance under those construction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all proceeds and other rights under our construction contracts to our bond surety company. Events that affect the insurance and bonding markets may result in bonding becoming more difficult to obtain in the future, or being available only at a significantly greater cost. To date, we have not encountered difficulties or material cost increases in obtaining new surety bonds.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Capital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continue to explore additional revenue growth and capital alternatives to improve leverage and strengthen its financial position in order to take advantage of trends in the civil infrastructure markets. We expect to pursue strategic uses of cash, such as investing in capital projects or businesses which meet our Gross Profit Margin and overall profitability targets, managing debt balances, and repurchasing shares of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Additional Liquidity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holding company we have no material assets other than our ownership of LLC units. We have no independent means of generating revenue. Cardinal’s Operating Agreement provides for the payment of certain distributions to the Continuing Equity Holders and to us in amounts sufficient to cover the income taxes imposed on such members with respect to the allocation of taxable income from Cardinal as well as to cover our obligations under the Tax Receivable Agreement and other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Regarding the ability of Cardinal to make distributions to us, the terms of their financing arrangements (including the October 2025 Credit Facility) contain covenants that may restrict Cardinal from paying such distributions, subject to certain exceptions. Further, Cardinal will generally be prohibited under Delaware law from making a distribution to a member to the extent that, at the time of the distribution, after giving effect to the distribution, liabilities of Cardinal (with certain exceptions), as applicable, exceed the fair value of its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under the Tax Receivable Agreement, we will be required to make cash payments to the Continuing Equity Holders equal to 85% of the tax benefits, if any, that we actually realize (or in certain circumstances are deemed to realize), as a result of (i) Basis Adjustments and (ii) certain tax benefits (such as interest deductions) arising from payments made under the Tax Receivable Agreement. We expect the amount of the cash payments that we will be required to make under the Tax Receivable Agreement will be significant. The actual amount and timing of any payments under the Tax Receivable Agreement will vary depending upon a number of factors, including the timing of redemptions or exchanges by the Continuing Equity Holders, the amount of gain recognized by the Continuing Equity Holders, the amount and timing of the taxable income we generate in the future, and the federal tax rates then applicable. Any payments made by us to the Continuing Equity Holders under the Tax Receivable Agreement will generally reduce the amount of overall cash flow that might have otherwise been available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in the event we declare any cash dividends, we intend to cause Cardinal to make distributions to us in amounts sufficient to fund such cash dividends declared by us to our stockholders. Deterioration in the financial condition, earnings, or cash flow of Cardinal for any reason could limit or impair their ability to pay such distributions.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Cardinal does not have sufficient funds to make distributions, our ability to declare and pay cash dividends will also be restricted or impaired.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“Part I. Item 1A. Risk Factors — Risks Related to Our Organizational Structure” in our 2025 Form 10-K and “Certain Relationships and Related Party Transactions” in our Registration Statement on Form S-1 (File No. 333-290850) filed with the SEC on December 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material cash requirements from contractual obligations at June 30, 2026:</w:t>
      </w:r>
    </w:p>
    <w:p>
      <w:pPr>
        <w:pStyle w:val="TextBody"/>
        <w:bidi w:val="0"/>
        <w:jc w:val="both"/>
        <w:rPr/>
      </w:pPr>
      <w:r>
        <w:rPr/>
        <w:t> </w:t>
      </w:r>
    </w:p>
    <w:tbl>
      <w:tblPr>
        <w:tblW w:w="9255" w:type="dxa"/>
        <w:jc w:val="left"/>
        <w:tblInd w:w="0" w:type="dxa"/>
        <w:tblLayout w:type="fixed"/>
        <w:tblCellMar>
          <w:top w:w="28" w:type="dxa"/>
          <w:left w:w="28" w:type="dxa"/>
          <w:bottom w:w="28" w:type="dxa"/>
          <w:right w:w="28" w:type="dxa"/>
        </w:tblCellMar>
      </w:tblPr>
      <w:tblGrid>
        <w:gridCol w:w="3076"/>
        <w:gridCol w:w="146"/>
        <w:gridCol w:w="211"/>
        <w:gridCol w:w="781"/>
        <w:gridCol w:w="146"/>
        <w:gridCol w:w="146"/>
        <w:gridCol w:w="211"/>
        <w:gridCol w:w="676"/>
        <w:gridCol w:w="146"/>
        <w:gridCol w:w="146"/>
        <w:gridCol w:w="211"/>
        <w:gridCol w:w="676"/>
        <w:gridCol w:w="146"/>
        <w:gridCol w:w="146"/>
        <w:gridCol w:w="211"/>
        <w:gridCol w:w="781"/>
        <w:gridCol w:w="146"/>
        <w:gridCol w:w="146"/>
        <w:gridCol w:w="247"/>
        <w:gridCol w:w="669"/>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2027-2028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2029-2030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 obligations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Unconditional Purchase Obligations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obligations</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contractual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Includes interest obligation on finance lease and operating lease obligations and operating leases executed but not yet commenced as of the reporting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Capital equipment is acquired as needed by increased levels of production and to replace retiring equipment. Capital expenditures, net of disposals, incurred during the six months ended June 30, 2026 were $34.0 million. Management expects capital expenditures will be materially higher than prior years because we have begun building our own asphalt manufacturing plant, are upgrading our fleet to support growth and may make strategic acquisitions. Capital expenditures, net of disposals, incurred during the six months ended June 30, 2025 were $22.6 million. The award of a project requiring significant purchases of equipment or other factors could result in increased expenditures.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Factors Impacting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Backlog (period end)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Backlog at period end represents our estimate of future revenue from our construction contracts. We add the revenue value of new contracts to backlog when secured through negotiated private transactions or when we are the low bidder on a public sector contract and management determines there are no apparent impediments to award. As work progresses, backlog is adjusted to reflect changes in estimated quantities under fixed unit price contracts, as well as to reflect changed conditions, change orders and other variations from initially anticipated contract revenues and costs, including completion penalties and bonuses. Revenue recognized on contracts and contracts cancellations are deducted from backlog.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Backlog is a key operational metric used by management to assess future revenue visibility and anticipated business activity. It is not defined under U.S. GAAP and differs from the remaining performance obligations disclosed in our financial statements under ASC 606. The primary difference is that backlog includes project commitments and signed contracts that have not yet commenced, whereas remaining performance obligations include only contracts for which performance has begun.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there is uncertainty in the availability and timing of new bid opportunities and the award of new contracts, many of which involve a lengthy and complex design and bidding process, our backlog reflects contracts and commitments that have already been awarded, including certain commitments from customers with whom we have a demonstrated history of successful conversion to executed contracts. Though backlog provides visibility into potential future revenue, it remains subject to execution risks, including potential cancellation, scope changes, permitting delays, and deferred start dates. As a result, the timing and amount of revenue ultimately realized from backlog may differ from our current estimates, and backlog at any point in time should not be viewed as a guarantee of future revenue or profitability. See “Part I. Item 1A. Risk Factors — Risks Related to Our Business and Industry” in our 2025 Form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a roll forward of our backlog at the periods indicated. The roll forward reflects the value of new awards and adjustments to existing contracts, and reductions for revenue recognized as projects progress.</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4651"/>
        <w:gridCol w:w="146"/>
        <w:gridCol w:w="211"/>
        <w:gridCol w:w="1201"/>
        <w:gridCol w:w="166"/>
        <w:gridCol w:w="146"/>
        <w:gridCol w:w="211"/>
        <w:gridCol w:w="1201"/>
        <w:gridCol w:w="166"/>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Opening backlog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682,000,000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512,000,000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Add: New awards and adjustments to existing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578,000,000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Less: Revenue recognized on contracts in progress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(394,000,000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(188,000,000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Ending 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866,000,000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643,000,000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backlog was primarily due to new project awards, partially offset by revenue recognized on contracts in progress. The increase in new project awards was across the Company's Greensboro, Raleigh, Charlotte and Atlanta markets primarily due to organic growth, but also as a result of the 2025 acquisitions of Purcell, Page and Red Clay and 2026 acquisitions of ALGC and Piedmont. Backlog growth was also driven by signed contracts that converted from letters of intent, supported by our investments in equipment and work crews through both organic and acquisition</w:t>
        <w:noBreakHyphen/>
        <w:t>related purchases.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recognize between $734 million and $812 million of our backlog within the twelve months following June 30, 2026. This estimated range is based on existing project schedules and other current assumptions. Actual timing and amounts may differ materially due to factors such as changes in project scope or schedules, weather</w:t>
        <w:noBreakHyphen/>
        <w:t>related or customer</w:t>
        <w:noBreakHyphen/>
        <w:t>driven delays, and contract terminations. In addition to the revenues we expect to recognize from our existing backlog, we anticipate generating additional revenues during the same period from new project awards, renewals, and the conversion of verbal or other preliminary commitments into executed contracts.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table below summarizes our project backlog at the dates indicated, categorized by stage of commitment. Categories range from projects in progress under executed contracts to early-stage awards with varying levels of customer commitment. Detailed descriptions of each category follow the table. </w:t>
      </w:r>
    </w:p>
    <w:p>
      <w:pPr>
        <w:pStyle w:val="TextBody"/>
        <w:bidi w:val="0"/>
        <w:jc w:val="both"/>
        <w:rPr/>
      </w:pPr>
      <w:r>
        <w:rPr/>
        <w:t> </w:t>
      </w:r>
    </w:p>
    <w:tbl>
      <w:tblPr>
        <w:tblW w:w="7526" w:type="dxa"/>
        <w:jc w:val="left"/>
        <w:tblInd w:w="0" w:type="dxa"/>
        <w:tblLayout w:type="fixed"/>
        <w:tblCellMar>
          <w:top w:w="28" w:type="dxa"/>
          <w:left w:w="28" w:type="dxa"/>
          <w:bottom w:w="28" w:type="dxa"/>
          <w:right w:w="28" w:type="dxa"/>
        </w:tblCellMar>
      </w:tblPr>
      <w:tblGrid>
        <w:gridCol w:w="2701"/>
        <w:gridCol w:w="146"/>
        <w:gridCol w:w="196"/>
        <w:gridCol w:w="1006"/>
        <w:gridCol w:w="146"/>
        <w:gridCol w:w="146"/>
        <w:gridCol w:w="244"/>
        <w:gridCol w:w="1256"/>
        <w:gridCol w:w="146"/>
        <w:gridCol w:w="146"/>
        <w:gridCol w:w="196"/>
        <w:gridCol w:w="100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Signed contracts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540,000,000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Letters of intent and issued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103,000,000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backlog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866,000,000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682,000,000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643,000,000</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signed contracts comprise executed agreements covering both active projects in which performance has begun and projects for which performance has not yet commenced. Our letters of intent and issued contracts represent arrangements in which the parties have reached agreement on principal terms, evidenced either by a signed letter of intent or by issuance of a written contract pending execution. Substantially all of the contracts in our backlog may be canceled at the election of the customer; however, neither our backlog nor our results of operations have been materially adversely affected by contract cancellations or modifications in the past. See “Business— Contracts — Contract Management Process” in our 2025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our results determined in accordance with GAAP, we have provided information in this Report relating to Adjusted Gross Profit, Adjusted Gross Profit Margin, EBITDA, Adjusted EBITDA, EBITDA Margin and Adjusted EBITDA Margin. We believe Adjusted Gross Profit, Adjusted Gross Profit Margin, EBITDA, Adjusted EBITDA, EBITDA Margin and Adjusted EBITDA Margin provide useful information in measuring our operating performance, generating future operating plans and making strategic decisions regarding allocation of capital. Management believes this information presents helpful comparisons of financial performance between periods by excluding the effect of certain non-recurring items.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limitations to the use of the non-GAAP financial measures presented in this Report. For example, Adjusted Gross Profit, Adjusted Gross Profit Margin, EBITDA, Adjusted EBITDA, EBITDA Margin and Adjusted EBITDA Margin do not have standardized meanings prescribed by GAAP and therefore it may not be comparable to similarly titled measures presented by other companies, and it should not be considered in isolation from, or as a substitute for, financial information prepared in accordance with GAAP.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define Adjusted Gross Profit as total revenue less cost of sales, exclusive of depreciation and amortization. Adjusted Gross Profit Margin represents Adjusted Gross Profit as a percentage of total revenue. We include these measures as supplemental disclosures because they are primary metrics used by management to evaluate revenue and cost of sales performance, exclusive of depreciation and amortization, which are non</w:t>
        <w:noBreakHyphen/>
        <w:t>cash charges related to assets acquired or constructed in prior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Adjusted Gross Profit Margin is useful because it focuses on the current operating performance of our projects and excludes the impact of historical asset costs, indirect costs associated with selling, general and administrative activities, financing methods, and income taxes. In addition, depreciation and amortization may not reflect the current costs required to maintain and replace the operational capacity of our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Adjusted Gross Profit and Adjusted Gross Profit Margin are non</w:t>
        <w:noBreakHyphen/>
        <w:t>GAAP measures and should not be considered as alternatives to, or more meaningful than, Gross Profit, net income, or any other measure calculated in accordance with GAAP. Our calculations of these measures may differ from similarly titled measures used by other companies and, therefore, may not be comparable.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Adjusted Gross Profit has certain material limitations as compared to Gross Profit, primarily because it excludes certain costs that are necessary to operate our business. These include depreciation and amortization, interest expense, and selling, general and administrative expenses. Because we intend to finance a portion of our operations through borrowings, interest expense is a necessary element of our costs and our ability to generate revenue. Similarly, because we use capital assets, depreciation expense is a necessary element of our costs and our ability to generate revenue, and SG&amp;A activities are necessary to support our operations and required corporate functions. To compensate for these limitations, management uses this non</w:t>
        <w:noBreakHyphen/>
        <w:t>GAAP measure only as a supplemental measure to GAAP results to provide a more complete understanding of our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define Adjusted Gross Profit Margin as Adjusted Gross Profit as a percentage of revenue. The table directly below reconciles Adjusted Gross Profit to Gross Profit, the most directly comparable to GAAP measure and shows Gross Profit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calculated as revenues less cost of revenues (excluding depreciation and amortization) and depreciation and amortization expense. While Gross Profit is not presented as a separate line item or subtotal in our unaudited financial statements for the three and six months ended June 30, 2026 and 2025, we present Gross Profit in the below table solely to facilitate the reconciliation of Adjusted Gross Profit, a non GAAP measure, to the most directly comparable GAAP measure.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50"/>
        <w:gridCol w:w="211"/>
        <w:gridCol w:w="1201"/>
        <w:gridCol w:w="271"/>
        <w:gridCol w:w="146"/>
        <w:gridCol w:w="211"/>
        <w:gridCol w:w="1141"/>
        <w:gridCol w:w="271"/>
        <w:gridCol w:w="146"/>
        <w:gridCol w:w="211"/>
        <w:gridCol w:w="1201"/>
        <w:gridCol w:w="271"/>
        <w:gridCol w:w="146"/>
        <w:gridCol w:w="211"/>
        <w:gridCol w:w="1201"/>
        <w:gridCol w:w="316"/>
      </w:tblGrid>
      <w:tr>
        <w:trPr/>
        <w:tc>
          <w:tcPr>
            <w:tcW w:w="3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226,934,438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106,110,909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394,443,154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187,912,174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excluding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(190,886,964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(83,511,347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(324,206,047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(148,789,325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(11,593,373</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(7,887,993</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(20,863,131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(14,486,834</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24,454,101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14,711,569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49,373,976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24,636,015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11,593,373</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7,887,993</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20,863,131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14,486,834</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36,047,474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22,599,562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70,237,107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39,122,849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Margin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 Margin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 define EBITDA as net income for the period adjusted for interest expense, net income tax expense, depreciation and amortization expense. Adjusted EBITDA further adjusts EBITDA for certain expenses associated with non-routine transactions, including (i) transaction fees and acquisition-related costs incurred in connection with acquisitions and planned acquisitions, (ii) non-routine costs associated with legal matters in which the Company is a defendant, (iii) certain consulting and recruiting costs related to acquisitions and public company readiness, (iv) non-routine revenue impact from customer claims, (v) non-routine loss on extinguishment and refinancing costs, (vi) stock-based compensation, (vii) non-routine IPO related travel and compensation, (viii) remeasurement losses related to the Tax Receivable Agreement, and (ix) other non-routine gains and charges that we do not believe reflect our underlying business performance. We define EBITDA Margin as EBITDA as a percentage of revenue, and Adjusted EBITDA Margin as Adjusted EBITDA as a percentage of revenue. The following table provides a reconciliation of net income and net income margin, the most closely comparable GAAP financial measure, to EBITDA, Adjusted EBITDA, EBITDA Margin and Adjusted EBITDA Margin: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5"/>
        <w:gridCol w:w="211"/>
        <w:gridCol w:w="1036"/>
        <w:gridCol w:w="271"/>
        <w:gridCol w:w="146"/>
        <w:gridCol w:w="211"/>
        <w:gridCol w:w="1036"/>
        <w:gridCol w:w="271"/>
        <w:gridCol w:w="146"/>
        <w:gridCol w:w="211"/>
        <w:gridCol w:w="1036"/>
        <w:gridCol w:w="271"/>
        <w:gridCol w:w="146"/>
        <w:gridCol w:w="211"/>
        <w:gridCol w:w="1036"/>
        <w:gridCol w:w="391"/>
      </w:tblGrid>
      <w:tr>
        <w:trPr/>
        <w:tc>
          <w:tcPr>
            <w:tcW w:w="3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11,148,306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9,450,127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22,629,342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16,091,872</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3,466,263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2,607,468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714,261</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11,593,373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7,887,993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20,863,131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14,486,834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25,196,820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19,633,573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49,246,719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33,900,435</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fees and acquisition-related costs</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2,773,859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Legal matters</w:t>
            </w:r>
            <w:r>
              <w:rPr>
                <w:rFonts w:ascii="Times New Roman" w:hAnsi="Times New Roman"/>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Transition and consulting arrangements</w:t>
            </w:r>
            <w:r>
              <w:rPr>
                <w:rFonts w:ascii="Times New Roman" w:hAnsi="Times New Roman"/>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Customer claims</w:t>
            </w:r>
            <w:r>
              <w:rPr>
                <w:rFonts w:ascii="Times New Roman" w:hAnsi="Times New Roman"/>
                <w:color w:val="000000"/>
                <w:sz w:val="13"/>
              </w:rPr>
              <w:t>(4)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Loss on extinguishment and refinancing costs</w:t>
            </w:r>
            <w:r>
              <w:rPr>
                <w:rFonts w:ascii="Times New Roman" w:hAnsi="Times New Roman"/>
                <w:color w:val="000000"/>
                <w:sz w:val="13"/>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Tax Receivable Agreement Remeasurement</w:t>
            </w:r>
            <w:r>
              <w:rPr>
                <w:rFonts w:ascii="Times New Roman" w:hAnsi="Times New Roman"/>
                <w:color w:val="000000"/>
                <w:sz w:val="13"/>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1,974,349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1,974,349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(7)</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169,881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28,139,462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19,702,212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54,939,429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34,274,787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Income Margin</w:t>
            </w:r>
            <w:r>
              <w:rPr>
                <w:rFonts w:ascii="Times New Roman" w:hAnsi="Times New Roman"/>
                <w:color w:val="000000"/>
                <w:sz w:val="13"/>
              </w:rPr>
              <w:t>(8)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 Margin</w:t>
            </w:r>
            <w:r>
              <w:rPr>
                <w:rFonts w:ascii="Times New Roman" w:hAnsi="Times New Roman"/>
                <w:color w:val="000000"/>
                <w:sz w:val="13"/>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 Margin</w:t>
            </w:r>
            <w:r>
              <w:rPr>
                <w:rFonts w:ascii="Times New Roman" w:hAnsi="Times New Roman"/>
                <w:color w:val="000000"/>
                <w:sz w:val="13"/>
              </w:rPr>
              <w:t>(8)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transaction fees and acquisition-related costs incurred in connection with acquisitions and planned acquisitions.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costs associated with legal matters in which the Company is a defendant.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certain consulting and recruiting costs related to acquisitions and public company readiness.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revenue impact from customer claims.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(5)</w:t>
      </w:r>
    </w:p>
    <w:p>
      <w:pPr>
        <w:pStyle w:val="TextBody"/>
        <w:bidi w:val="0"/>
        <w:jc w:val="left"/>
        <w:rPr>
          <w:rFonts w:ascii="Times New Roman" w:hAnsi="Times New Roman"/>
          <w:color w:val="000000"/>
          <w:sz w:val="18"/>
        </w:rPr>
      </w:pPr>
      <w:r>
        <w:rPr>
          <w:rFonts w:ascii="Times New Roman" w:hAnsi="Times New Roman"/>
          <w:color w:val="000000"/>
          <w:sz w:val="18"/>
        </w:rPr>
        <w:t>Represents financing and extinguishment-related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Tax Receivable Agreement Liability Remeasurement losses recognized in other expense, net.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(7)</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certain other gains and charges that we do not believe reflect our underlying business performance.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(8)</w:t>
      </w:r>
    </w:p>
    <w:p>
      <w:pPr>
        <w:pStyle w:val="TextBody"/>
        <w:bidi w:val="0"/>
        <w:jc w:val="left"/>
        <w:rPr>
          <w:rFonts w:ascii="Times New Roman" w:hAnsi="Times New Roman"/>
          <w:color w:val="000000"/>
          <w:sz w:val="18"/>
        </w:rPr>
      </w:pPr>
      <w:r>
        <w:rPr>
          <w:rFonts w:ascii="Times New Roman" w:hAnsi="Times New Roman"/>
          <w:color w:val="000000"/>
          <w:sz w:val="18"/>
        </w:rPr>
        <w:t>Calculated as a percentage of revenue.</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preparing our financial statements in conformity with U.S. GAAP, we must make decisions that impact the reported amounts of assets, liabilities, revenue,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business valuations. Actual amounts could differ from those estimated at the time the consolidated financial statements are prepared. Our significant accounting policies are described in Note 2—Significant accounting policies to our accompanying unaudited condensed consolidated financial statements included elsewhere in this Quarterly Report on Form 10-Q.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There have been no material changes to the Company’s critical accounting estimates since our Annual Report.</w:t>
      </w:r>
    </w:p>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b/>
          <w:color w:val="000000"/>
          <w:sz w:val="20"/>
        </w:rPr>
        <w:t>Change in Accounting Estimate - Property and Equipment Depreciation Method</w:t>
      </w:r>
      <w:r>
        <w:rPr>
          <w:rFonts w:ascii="Times New Roman" w:hAnsi="Times New Roman"/>
          <w:color w:val="000000"/>
          <w:sz w:val="20"/>
        </w:rPr>
        <w:t xml:space="preserve"> </w:t>
      </w:r>
    </w:p>
    <w:p>
      <w:pPr>
        <w:pStyle w:val="TextBody"/>
        <w:bidi w:val="0"/>
        <w:jc w:val="left"/>
        <w:rPr/>
      </w:pPr>
      <w:r>
        <w:rPr/>
        <w:t> </w:t>
      </w:r>
    </w:p>
    <w:p>
      <w:pPr>
        <w:pStyle w:val="TextBody"/>
        <w:bidi w:val="0"/>
        <w:spacing w:before="1" w:after="120"/>
        <w:jc w:val="both"/>
        <w:rPr>
          <w:rFonts w:ascii="Times New Roman" w:hAnsi="Times New Roman"/>
          <w:color w:val="000000"/>
          <w:sz w:val="20"/>
        </w:rPr>
      </w:pPr>
      <w:r>
        <w:rPr>
          <w:rFonts w:ascii="Times New Roman" w:hAnsi="Times New Roman"/>
          <w:color w:val="000000"/>
          <w:sz w:val="20"/>
        </w:rPr>
        <w:t xml:space="preserve">During the first quarter of 2026, the Company completed a review of its accounting policy for property and equipment depreciated on an accelerated basis. As a result of this review, the Company changed its accounting method for property and equipment from the accelerated basis of depreciation to the straight-line method of depreciation, effective as of January 1, 2026. The Company believes the change from the accelerated method to the straight-line method of depreciation is preferable under U.S. GAAP as it will result in an estimate of depreciation expense which more accurately reflects the pattern of usage and the expected benefits of such assets. Additionally, the change to the straight-line method of depreciation is consistent with the depreciation method applied by other companies within the Company's industry, and improves the comparability of our results to our competitors. Our change in the method of depreciation is considered a change in accounting estimate effected by a change in accounting principle and has been applied prospectively.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the change on the three and six months ended June 30, 2026 was a decrease in depreciation expense of approximately $2.4 million and $3.0 million and a corresponding increase in income before income taxes of approximately $2.4 million and $3.0 million compared to what would have been reported under the accelerated method. The effect on net income and earnings per diluted share was approximately $2.2 million and $0.05 and $2.8 million and $0.18 for the three and six months ended June 30, 2026,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New Accounting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the applicable section of Note 2 to the unaudited condensed consolidated financial statements included in “Part I. Item 1. Financial Statements” for a discussion of new accounting standards.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part_i_item_3"/>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interest rate risk relates primarily to fluctuations in variable interest rates on our October 2025 Credit Facility and our cash balance. Our indebtedness as of June 30, 2026 included $196.0 million of variable rate debt and $3.5 million of fixed rate debt. As of June 30, 2026, we held cash of $339.1 million. In January 2026, we entered into an interest rate swap for $60.0 million of the total facility, with principal payment terms that match the underlying credit facility. At June 30, 2026, a 100-basis point (or 1%) increase or decrease in the interest rate would increase or decrease interest expense by approximately $1.4 million per year. Terms of the swap fix the overall rate assuming a term SOFR rate at 3.8%. For more information on the terms of the October 2025 Credit Facility, see “Part I. Item 2. Management’s Discussion and Analysis of Financial Condition and Results of Operations — Credit Facilities, Debt and Other Capital — October 2025 Credit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part_i_item_4"/>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Securities Exchange Act of 1934, as amended (the “Exchange Act”), are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this evaluation of our disclosure controls and procedures as of June 30, 2026, our Chief Executive Officer and Chief Financial Officer concluded that our disclosure controls and procedures were not effective due to the material weaknesses in internal control over financial reporting. The material weaknesses identified in our internal controls over financial reporting are related to information technology general controls, segregation of duties and ineffective controls over the review of estimates to complete for construction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Notwithstanding the material weaknesses in our internal control over financial reporting, our Chief Executive Officer and Chief Financial Officer have concluded that our unaudited condensed consolidated financial statements present fairly, in all material respects, our financial position, results of operations and cash flows in accordance with GAAP.</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identified material weaknesses in the Company’s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are related to information technology general controls, segregation of duties and ineffective controls over the review of estimates to complete for construction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Remediation steps are being taken to improve the Company’s internal controls over financial reporting to address the underlying causes of the material weaknesses described above, including designing and implementing increased controls along with increased oversight and review of controls. We have taken the following steps to remediate the identified material weaknesses and improve our internal controls over financial reporting: (i) we have hired key personnel with relevant financial reporting and controls expertise to strengthen our finance and accounting function; (ii) we are currently in the implementation phase of a new enterprise resource planning ("ERP") system, which is specifically designed to address our information technology general controls and segregation of duties concerns; and (iii) we are designing and implementing enhanced controls over the review of contract estimates to complete, including standardized supporting documentation and additional levels of management review of contract estimates and related gross margin variances. We continue to evaluate and implement additional remediation initiatives as appropriate.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If the steps we take do not remediate the material weaknesses in a timely manner, there could continue to be a reasonable possibility that these control deficiencies or others could result in a material misstatement of our annual or interim financial statements that would not be prevented or detected on a timely basis. If we are unable to successfully remediate our existing or any future material weakness, the accuracy of our financial reporting may be adversely affected, which could cause investors to lose confidence in our financial reporting and our share price, and profitability may decline as a result.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18, 2026, the Company completed the acquisition of ALGC. Consistent with SEC guidance that an assessment of a recently acquired business may be omitted from management’s evaluation of internal control over financial reporting for up to a year from the acquisition and from the annual management report on internal control over financial reporting for the year of acquisition, our management intends to exclude from such evaluation an assessment of the effectiveness of our internal control over financial reporting related to ALGC. ALGC, which we acquired on February 18, 2026, represented 30% of our consolidated total assets as of June 30, 2026 and 15% of our consolidated revenues for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in the process of reviewing the internal control structure of ALGC and, if necessary, will make appropriate changes as it continues to integrate ALGC into our overall internal control over financial reporting process.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for the enhancements to controls to address the material weaknesses discussed above, there were no changes to our internal control over financial reporting during the three months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360" w:after="283"/>
        <w:jc w:val="left"/>
        <w:rPr>
          <w:rFonts w:ascii="Times New Roman" w:hAnsi="Times New Roman"/>
          <w:b/>
          <w:color w:val="000000"/>
          <w:sz w:val="20"/>
        </w:rPr>
      </w:pPr>
      <w:bookmarkStart w:id="12" w:name="part_ii_item_1"/>
      <w:bookmarkEnd w:id="12"/>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and may in the future be, involved as a party to various legal proceedings, which are incidental to the ordinary course of business. We regularly analyze current information and, as necessary, provide accruals for probable liabilities on the eventual disposition of these matters. We believe there are currently no threatened or pending legal matters that would reasonably be expected to have a material adverse impact on our consolidated results of operations, financial position or cash flows.</w:t>
      </w:r>
    </w:p>
    <w:p>
      <w:pPr>
        <w:pStyle w:val="TextBody"/>
        <w:bidi w:val="0"/>
        <w:spacing w:before="360" w:after="283"/>
        <w:jc w:val="left"/>
        <w:rPr>
          <w:rFonts w:ascii="Times New Roman" w:hAnsi="Times New Roman"/>
          <w:b/>
          <w:color w:val="000000"/>
          <w:sz w:val="20"/>
        </w:rPr>
      </w:pPr>
      <w:bookmarkStart w:id="13" w:name="part_ii_item_1a"/>
      <w:bookmarkEnd w:id="13"/>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the risk factors disclosed in Item 1A. Risk Factors in our 2025 Form 10-K.</w:t>
      </w:r>
    </w:p>
    <w:p>
      <w:pPr>
        <w:pStyle w:val="TextBody"/>
        <w:bidi w:val="0"/>
        <w:spacing w:before="360" w:after="283"/>
        <w:jc w:val="left"/>
        <w:rPr>
          <w:rFonts w:ascii="Times New Roman" w:hAnsi="Times New Roman"/>
          <w:b/>
          <w:color w:val="000000"/>
          <w:sz w:val="20"/>
        </w:rPr>
      </w:pPr>
      <w:bookmarkStart w:id="14" w:name="part_ii_item_2"/>
      <w:bookmarkEnd w:id="14"/>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Unregistered Sales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the Company issued 339,426 shares of Class A Common Stock to stockholders upon the conversion of the same number of shares of our Class B Common Stock and an equal number of LLC Units of Cardinal Civil Contracting Holdings LLC held by and at the election of such stockholders in accordance with our certificate of incorporation. The issuance of the Class A Common Stock in this transaction was made in reliance on the exemption from registration under Section 3(a)(9) of the Securities Act of 1933, as amended. No or other remuneration was paid or given directly or indirectly for soliciting the exchange of these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24, 2026, we completed an underwritten public offering of 4,600,000 shares of our Class A Common Stock, which included 600,000 shares issued upon the underwriters' full exercise of their over-allotment option, at a price to the public of $73.00 per share. We received net proceeds of approximately $318.4 million, after deducting underwriting discounts and commissions, in addition to offering expenses of approximately $568,000.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used the net proceeds to purchase 4,600,000 newly issued LLC Units directly from Cardinal for approximately $318.4 million in the aggregate. Cardinal used $33 million of such net proceeds to repay borrowings outstanding under its October 2025 Credit Facility and intends to use the remaining net proceeds for general corporate purposes, which may include funding for acquisitions, working capital requirements, capital expenditures and the repayment, refinancing, redemption or repurchase of indebtedness or other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“Part I. Item 2. Management’s Discussion and Analysis of Financial Condition and Results of Operations — Liquidity and Sources of Capital” for a discussion of working capital restrictions and other limitations upon the payment of dividends.</w:t>
      </w:r>
    </w:p>
    <w:p>
      <w:pPr>
        <w:pStyle w:val="TextBody"/>
        <w:bidi w:val="0"/>
        <w:spacing w:before="360" w:after="283"/>
        <w:jc w:val="left"/>
        <w:rPr>
          <w:rFonts w:ascii="Times New Roman" w:hAnsi="Times New Roman"/>
          <w:b/>
          <w:color w:val="000000"/>
          <w:sz w:val="20"/>
        </w:rPr>
      </w:pPr>
      <w:bookmarkStart w:id="15" w:name="part_ii_item_3"/>
      <w:bookmarkEnd w:id="15"/>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part_ii_item_4"/>
      <w:bookmarkEnd w:id="16"/>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statement concerning mine safety violations or other regulatory matters required by Section 1503(a) of the Dodd-Frank Wall Street Reform and Consumer Protection Act and Item 104 of Regulation S-K is included in Exhibit 95 to this Report.</w:t>
      </w:r>
    </w:p>
    <w:p>
      <w:pPr>
        <w:pStyle w:val="TextBody"/>
        <w:bidi w:val="0"/>
        <w:spacing w:before="360" w:after="283"/>
        <w:jc w:val="left"/>
        <w:rPr>
          <w:rFonts w:ascii="Times New Roman" w:hAnsi="Times New Roman"/>
          <w:b/>
          <w:color w:val="000000"/>
          <w:sz w:val="20"/>
        </w:rPr>
      </w:pPr>
      <w:bookmarkStart w:id="17" w:name="part_ii_item_5"/>
      <w:bookmarkEnd w:id="17"/>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8" w:name="part_ii_item_6"/>
      <w:bookmarkEnd w:id="18"/>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required to be filed by Item 601 of Regulation S-K are listed in the Index to Exhibits of this report and incorporated by reference herein.</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91"/>
        <w:gridCol w:w="146"/>
        <w:gridCol w:w="5652"/>
        <w:gridCol w:w="146"/>
        <w:gridCol w:w="526"/>
        <w:gridCol w:w="840"/>
        <w:gridCol w:w="925"/>
        <w:gridCol w:w="1179"/>
      </w:tblGrid>
      <w:tr>
        <w:trPr/>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0"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By Reference</w:t>
            </w:r>
          </w:p>
        </w:tc>
      </w:tr>
      <w:tr>
        <w:trPr/>
        <w:tc>
          <w:tcPr>
            <w:tcW w:w="79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84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Number</w:t>
            </w:r>
          </w:p>
        </w:tc>
        <w:tc>
          <w:tcPr>
            <w:tcW w:w="9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Number</w:t>
            </w:r>
          </w:p>
        </w:tc>
        <w:tc>
          <w:tcPr>
            <w:tcW w:w="117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r>
      <w:tr>
        <w:trPr/>
        <w:tc>
          <w:tcPr>
            <w:tcW w:w="79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Cardinal Infrastructure Group Inc.</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001-43004</w:t>
            </w:r>
          </w:p>
        </w:tc>
        <w:tc>
          <w:tcPr>
            <w:tcW w:w="92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3.1</w:t>
            </w:r>
          </w:p>
        </w:tc>
        <w:tc>
          <w:tcPr>
            <w:tcW w:w="1179"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December 12, 2025</w:t>
            </w:r>
          </w:p>
        </w:tc>
      </w:tr>
      <w:tr>
        <w:trPr/>
        <w:tc>
          <w:tcPr>
            <w:tcW w:w="791" w:type="dxa"/>
            <w:tcBorders/>
            <w:shd w:fill="CCEEFF" w:val="clear"/>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3.2</w:t>
            </w:r>
          </w:p>
        </w:tc>
        <w:tc>
          <w:tcPr>
            <w:tcW w:w="14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shd w:fill="CCEE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Cardinal Infrastructure Group Inc.</w:t>
              </w:r>
            </w:hyperlink>
          </w:p>
        </w:tc>
        <w:tc>
          <w:tcPr>
            <w:tcW w:w="14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840"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001-43004</w:t>
            </w:r>
          </w:p>
          <w:p>
            <w:pPr>
              <w:pStyle w:val="TableContents"/>
              <w:bidi w:val="0"/>
              <w:spacing w:before="0" w:after="283"/>
              <w:jc w:val="left"/>
              <w:rPr/>
            </w:pPr>
            <w:r>
              <w:rPr/>
              <w:t> </w:t>
            </w:r>
          </w:p>
        </w:tc>
        <w:tc>
          <w:tcPr>
            <w:tcW w:w="925" w:type="dxa"/>
            <w:tcBorders/>
            <w:shd w:fill="CCEEFF" w:val="clear"/>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3.2</w:t>
            </w:r>
          </w:p>
        </w:tc>
        <w:tc>
          <w:tcPr>
            <w:tcW w:w="1179" w:type="dxa"/>
            <w:tcBorders/>
            <w:shd w:fill="CCEEFF" w:val="clear"/>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December 12, 2025</w:t>
            </w:r>
          </w:p>
        </w:tc>
      </w:tr>
      <w:tr>
        <w:trPr/>
        <w:tc>
          <w:tcPr>
            <w:tcW w:w="79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18.1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Letter of preferability regarding change in accounting principle from Grant Thornton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10-Q</w:t>
            </w:r>
          </w:p>
        </w:tc>
        <w:tc>
          <w:tcPr>
            <w:tcW w:w="84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001-43004</w:t>
            </w:r>
          </w:p>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18.1</w:t>
            </w:r>
          </w:p>
          <w:p>
            <w:pPr>
              <w:pStyle w:val="TableContents"/>
              <w:bidi w:val="0"/>
              <w:spacing w:before="0" w:after="283"/>
              <w:jc w:val="left"/>
              <w:rPr/>
            </w:pPr>
            <w:r>
              <w:rPr/>
              <w:t> </w:t>
            </w:r>
          </w:p>
        </w:tc>
        <w:tc>
          <w:tcPr>
            <w:tcW w:w="1179"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May 13, 2026</w:t>
            </w:r>
          </w:p>
        </w:tc>
      </w:tr>
      <w:tr>
        <w:trPr/>
        <w:tc>
          <w:tcPr>
            <w:tcW w:w="791" w:type="dxa"/>
            <w:tcBorders/>
            <w:shd w:fill="CCEEFF" w:val="clear"/>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31.1*</w:t>
            </w:r>
          </w:p>
        </w:tc>
        <w:tc>
          <w:tcPr>
            <w:tcW w:w="14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shd w:fill="CCEEFF" w:val="clear"/>
            <w:tcMar>
              <w:top w:w="0" w:type="dxa"/>
              <w:left w:w="0" w:type="dxa"/>
              <w:bottom w:w="0" w:type="dxa"/>
              <w:right w:w="0" w:type="dxa"/>
            </w:tcMar>
            <w:vAlign w:val="center"/>
          </w:tcPr>
          <w:p>
            <w:pPr>
              <w:pStyle w:val="TableContents"/>
              <w:bidi w:val="0"/>
              <w:spacing w:before="20" w:after="20"/>
              <w:jc w:val="left"/>
              <w:rPr/>
            </w:pPr>
            <w:hyperlink w:anchor="cdn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840"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925"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1179"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r>
      <w:tr>
        <w:trPr/>
        <w:tc>
          <w:tcPr>
            <w:tcW w:w="79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tcMar>
              <w:top w:w="0" w:type="dxa"/>
              <w:left w:w="0" w:type="dxa"/>
              <w:bottom w:w="0" w:type="dxa"/>
              <w:right w:w="0" w:type="dxa"/>
            </w:tcMar>
            <w:vAlign w:val="center"/>
          </w:tcPr>
          <w:p>
            <w:pPr>
              <w:pStyle w:val="TableContents"/>
              <w:bidi w:val="0"/>
              <w:spacing w:before="20" w:after="20"/>
              <w:jc w:val="left"/>
              <w:rPr/>
            </w:pPr>
            <w:hyperlink w:anchor="cdn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tcMar>
              <w:top w:w="0" w:type="dxa"/>
              <w:left w:w="0" w:type="dxa"/>
              <w:bottom w:w="0" w:type="dxa"/>
              <w:right w:w="0" w:type="dxa"/>
            </w:tcMar>
            <w:vAlign w:val="center"/>
          </w:tcPr>
          <w:p>
            <w:pPr>
              <w:pStyle w:val="TableContents"/>
              <w:bidi w:val="0"/>
              <w:spacing w:before="20" w:after="20"/>
              <w:jc w:val="left"/>
              <w:rPr/>
            </w:pPr>
            <w:r>
              <w:rPr/>
              <w:t> </w:t>
            </w:r>
          </w:p>
        </w:tc>
        <w:tc>
          <w:tcPr>
            <w:tcW w:w="840" w:type="dxa"/>
            <w:tcBorders/>
            <w:tcMar>
              <w:top w:w="0" w:type="dxa"/>
              <w:left w:w="0" w:type="dxa"/>
              <w:bottom w:w="0" w:type="dxa"/>
              <w:right w:w="0" w:type="dxa"/>
            </w:tcMar>
            <w:vAlign w:val="center"/>
          </w:tcPr>
          <w:p>
            <w:pPr>
              <w:pStyle w:val="TableContents"/>
              <w:bidi w:val="0"/>
              <w:spacing w:before="20" w:after="20"/>
              <w:jc w:val="left"/>
              <w:rPr/>
            </w:pPr>
            <w:r>
              <w:rPr/>
              <w:t> </w:t>
            </w:r>
          </w:p>
        </w:tc>
        <w:tc>
          <w:tcPr>
            <w:tcW w:w="925" w:type="dxa"/>
            <w:tcBorders/>
            <w:tcMar>
              <w:top w:w="0" w:type="dxa"/>
              <w:left w:w="0" w:type="dxa"/>
              <w:bottom w:w="0" w:type="dxa"/>
              <w:right w:w="0" w:type="dxa"/>
            </w:tcMar>
            <w:vAlign w:val="center"/>
          </w:tcPr>
          <w:p>
            <w:pPr>
              <w:pStyle w:val="TableContents"/>
              <w:bidi w:val="0"/>
              <w:spacing w:before="20" w:after="20"/>
              <w:jc w:val="left"/>
              <w:rPr/>
            </w:pPr>
            <w:r>
              <w:rPr/>
              <w:t> </w:t>
            </w:r>
          </w:p>
        </w:tc>
        <w:tc>
          <w:tcPr>
            <w:tcW w:w="1179"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791" w:type="dxa"/>
            <w:tcBorders/>
            <w:shd w:fill="CCEEFF" w:val="clear"/>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32.1*</w:t>
            </w:r>
          </w:p>
        </w:tc>
        <w:tc>
          <w:tcPr>
            <w:tcW w:w="14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shd w:fill="CCEEFF" w:val="clear"/>
            <w:tcMar>
              <w:top w:w="0" w:type="dxa"/>
              <w:left w:w="0" w:type="dxa"/>
              <w:bottom w:w="0" w:type="dxa"/>
              <w:right w:w="0" w:type="dxa"/>
            </w:tcMar>
            <w:vAlign w:val="center"/>
          </w:tcPr>
          <w:p>
            <w:pPr>
              <w:pStyle w:val="TableContents"/>
              <w:bidi w:val="0"/>
              <w:spacing w:before="20" w:after="20"/>
              <w:jc w:val="left"/>
              <w:rPr/>
            </w:pPr>
            <w:hyperlink w:anchor="cdn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840"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925"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1179"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r>
      <w:tr>
        <w:trPr/>
        <w:tc>
          <w:tcPr>
            <w:tcW w:w="79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tcMar>
              <w:top w:w="0" w:type="dxa"/>
              <w:left w:w="0" w:type="dxa"/>
              <w:bottom w:w="0" w:type="dxa"/>
              <w:right w:w="0" w:type="dxa"/>
            </w:tcMar>
            <w:vAlign w:val="center"/>
          </w:tcPr>
          <w:p>
            <w:pPr>
              <w:pStyle w:val="TableContents"/>
              <w:bidi w:val="0"/>
              <w:spacing w:before="20" w:after="20"/>
              <w:jc w:val="left"/>
              <w:rPr/>
            </w:pPr>
            <w:hyperlink w:anchor="cdn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tcMar>
              <w:top w:w="0" w:type="dxa"/>
              <w:left w:w="0" w:type="dxa"/>
              <w:bottom w:w="0" w:type="dxa"/>
              <w:right w:w="0" w:type="dxa"/>
            </w:tcMar>
            <w:vAlign w:val="center"/>
          </w:tcPr>
          <w:p>
            <w:pPr>
              <w:pStyle w:val="TableContents"/>
              <w:bidi w:val="0"/>
              <w:spacing w:before="20" w:after="20"/>
              <w:jc w:val="left"/>
              <w:rPr/>
            </w:pPr>
            <w:r>
              <w:rPr/>
              <w:t> </w:t>
            </w:r>
          </w:p>
        </w:tc>
        <w:tc>
          <w:tcPr>
            <w:tcW w:w="840" w:type="dxa"/>
            <w:tcBorders/>
            <w:tcMar>
              <w:top w:w="0" w:type="dxa"/>
              <w:left w:w="0" w:type="dxa"/>
              <w:bottom w:w="0" w:type="dxa"/>
              <w:right w:w="0" w:type="dxa"/>
            </w:tcMar>
            <w:vAlign w:val="center"/>
          </w:tcPr>
          <w:p>
            <w:pPr>
              <w:pStyle w:val="TableContents"/>
              <w:bidi w:val="0"/>
              <w:spacing w:before="20" w:after="20"/>
              <w:jc w:val="left"/>
              <w:rPr/>
            </w:pPr>
            <w:r>
              <w:rPr/>
              <w:t> </w:t>
            </w:r>
          </w:p>
        </w:tc>
        <w:tc>
          <w:tcPr>
            <w:tcW w:w="925" w:type="dxa"/>
            <w:tcBorders/>
            <w:tcMar>
              <w:top w:w="0" w:type="dxa"/>
              <w:left w:w="0" w:type="dxa"/>
              <w:bottom w:w="0" w:type="dxa"/>
              <w:right w:w="0" w:type="dxa"/>
            </w:tcMar>
            <w:vAlign w:val="center"/>
          </w:tcPr>
          <w:p>
            <w:pPr>
              <w:pStyle w:val="TableContents"/>
              <w:bidi w:val="0"/>
              <w:spacing w:before="20" w:after="20"/>
              <w:jc w:val="left"/>
              <w:rPr/>
            </w:pPr>
            <w:r>
              <w:rPr/>
              <w:t> </w:t>
            </w:r>
          </w:p>
        </w:tc>
        <w:tc>
          <w:tcPr>
            <w:tcW w:w="1179"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791" w:type="dxa"/>
            <w:tcBorders/>
            <w:shd w:fill="CCEEFF" w:val="clear"/>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95*</w:t>
            </w:r>
          </w:p>
        </w:tc>
        <w:tc>
          <w:tcPr>
            <w:tcW w:w="14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shd w:fill="CCEEFF" w:val="clear"/>
            <w:tcMar>
              <w:top w:w="0" w:type="dxa"/>
              <w:left w:w="0" w:type="dxa"/>
              <w:bottom w:w="0" w:type="dxa"/>
              <w:right w:w="0" w:type="dxa"/>
            </w:tcMar>
            <w:vAlign w:val="center"/>
          </w:tcPr>
          <w:p>
            <w:pPr>
              <w:pStyle w:val="TableContents"/>
              <w:bidi w:val="0"/>
              <w:spacing w:before="20" w:after="20"/>
              <w:jc w:val="left"/>
              <w:rPr/>
            </w:pPr>
            <w:hyperlink w:anchor="cdnl-ex95.htm">
              <w:r>
                <w:rPr>
                  <w:rStyle w:val="InternetLink"/>
                  <w:rFonts w:ascii="Times New Roman" w:hAnsi="Times New Roman"/>
                  <w:color w:val="0000FF"/>
                  <w:sz w:val="20"/>
                  <w:u w:val="single"/>
                </w:rPr>
                <w:t>Mine Safety Disclosure Exhibit</w:t>
              </w:r>
            </w:hyperlink>
          </w:p>
        </w:tc>
        <w:tc>
          <w:tcPr>
            <w:tcW w:w="14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840"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925"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1179"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r>
      <w:tr>
        <w:trPr/>
        <w:tc>
          <w:tcPr>
            <w:tcW w:w="79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tcMar>
              <w:top w:w="0" w:type="dxa"/>
              <w:left w:w="0" w:type="dxa"/>
              <w:bottom w:w="0" w:type="dxa"/>
              <w:right w:w="0" w:type="dxa"/>
            </w:tcMar>
            <w:vAlign w:val="center"/>
          </w:tcPr>
          <w:p>
            <w:pPr>
              <w:pStyle w:val="TableContents"/>
              <w:bidi w:val="0"/>
              <w:spacing w:before="20" w:after="20"/>
              <w:jc w:val="left"/>
              <w:rPr/>
            </w:pPr>
            <w:r>
              <w:rPr/>
              <w:t> </w:t>
            </w:r>
          </w:p>
        </w:tc>
        <w:tc>
          <w:tcPr>
            <w:tcW w:w="840" w:type="dxa"/>
            <w:tcBorders/>
            <w:tcMar>
              <w:top w:w="0" w:type="dxa"/>
              <w:left w:w="0" w:type="dxa"/>
              <w:bottom w:w="0" w:type="dxa"/>
              <w:right w:w="0" w:type="dxa"/>
            </w:tcMar>
            <w:vAlign w:val="center"/>
          </w:tcPr>
          <w:p>
            <w:pPr>
              <w:pStyle w:val="TableContents"/>
              <w:bidi w:val="0"/>
              <w:spacing w:before="20" w:after="20"/>
              <w:jc w:val="left"/>
              <w:rPr/>
            </w:pPr>
            <w:r>
              <w:rPr/>
              <w:t> </w:t>
            </w:r>
          </w:p>
        </w:tc>
        <w:tc>
          <w:tcPr>
            <w:tcW w:w="925" w:type="dxa"/>
            <w:tcBorders/>
            <w:tcMar>
              <w:top w:w="0" w:type="dxa"/>
              <w:left w:w="0" w:type="dxa"/>
              <w:bottom w:w="0" w:type="dxa"/>
              <w:right w:w="0" w:type="dxa"/>
            </w:tcMar>
            <w:vAlign w:val="center"/>
          </w:tcPr>
          <w:p>
            <w:pPr>
              <w:pStyle w:val="TableContents"/>
              <w:bidi w:val="0"/>
              <w:spacing w:before="20" w:after="20"/>
              <w:jc w:val="left"/>
              <w:rPr/>
            </w:pPr>
            <w:r>
              <w:rPr/>
              <w:t> </w:t>
            </w:r>
          </w:p>
        </w:tc>
        <w:tc>
          <w:tcPr>
            <w:tcW w:w="1179"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791" w:type="dxa"/>
            <w:tcBorders/>
            <w:shd w:fill="CCEEFF" w:val="clear"/>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101.SCH</w:t>
            </w:r>
          </w:p>
        </w:tc>
        <w:tc>
          <w:tcPr>
            <w:tcW w:w="14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shd w:fill="CCEEFF" w:val="clear"/>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840"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925"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1179"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r>
      <w:tr>
        <w:trPr/>
        <w:tc>
          <w:tcPr>
            <w:tcW w:w="79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652"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26" w:type="dxa"/>
            <w:tcBorders/>
            <w:tcMar>
              <w:top w:w="0" w:type="dxa"/>
              <w:left w:w="0" w:type="dxa"/>
              <w:bottom w:w="0" w:type="dxa"/>
              <w:right w:w="0" w:type="dxa"/>
            </w:tcMar>
            <w:vAlign w:val="center"/>
          </w:tcPr>
          <w:p>
            <w:pPr>
              <w:pStyle w:val="TableContents"/>
              <w:bidi w:val="0"/>
              <w:spacing w:before="20" w:after="20"/>
              <w:jc w:val="left"/>
              <w:rPr/>
            </w:pPr>
            <w:r>
              <w:rPr/>
              <w:t> </w:t>
            </w:r>
          </w:p>
        </w:tc>
        <w:tc>
          <w:tcPr>
            <w:tcW w:w="840" w:type="dxa"/>
            <w:tcBorders/>
            <w:tcMar>
              <w:top w:w="0" w:type="dxa"/>
              <w:left w:w="0" w:type="dxa"/>
              <w:bottom w:w="0" w:type="dxa"/>
              <w:right w:w="0" w:type="dxa"/>
            </w:tcMar>
            <w:vAlign w:val="center"/>
          </w:tcPr>
          <w:p>
            <w:pPr>
              <w:pStyle w:val="TableContents"/>
              <w:bidi w:val="0"/>
              <w:spacing w:before="20" w:after="20"/>
              <w:jc w:val="left"/>
              <w:rPr/>
            </w:pPr>
            <w:r>
              <w:rPr/>
              <w:t> </w:t>
            </w:r>
          </w:p>
        </w:tc>
        <w:tc>
          <w:tcPr>
            <w:tcW w:w="925" w:type="dxa"/>
            <w:tcBorders/>
            <w:tcMar>
              <w:top w:w="0" w:type="dxa"/>
              <w:left w:w="0" w:type="dxa"/>
              <w:bottom w:w="0" w:type="dxa"/>
              <w:right w:w="0" w:type="dxa"/>
            </w:tcMar>
            <w:vAlign w:val="center"/>
          </w:tcPr>
          <w:p>
            <w:pPr>
              <w:pStyle w:val="TableContents"/>
              <w:bidi w:val="0"/>
              <w:spacing w:before="20" w:after="20"/>
              <w:jc w:val="left"/>
              <w:rPr/>
            </w:pPr>
            <w:r>
              <w:rPr/>
              <w:t> </w:t>
            </w:r>
          </w:p>
        </w:tc>
        <w:tc>
          <w:tcPr>
            <w:tcW w:w="1179" w:type="dxa"/>
            <w:tcBorders/>
            <w:tcMar>
              <w:top w:w="0" w:type="dxa"/>
              <w:left w:w="0" w:type="dxa"/>
              <w:bottom w:w="0" w:type="dxa"/>
              <w:right w:w="0" w:type="dxa"/>
            </w:tcMar>
            <w:vAlign w:val="center"/>
          </w:tcPr>
          <w:p>
            <w:pPr>
              <w:pStyle w:val="TableContents"/>
              <w:bidi w:val="0"/>
              <w:spacing w:before="20" w:after="20"/>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977" w:type="dxa"/>
        <w:jc w:val="left"/>
        <w:tblInd w:w="0" w:type="dxa"/>
        <w:tblLayout w:type="fixed"/>
        <w:tblCellMar>
          <w:top w:w="28" w:type="dxa"/>
          <w:left w:w="28" w:type="dxa"/>
          <w:bottom w:w="28" w:type="dxa"/>
          <w:right w:w="28" w:type="dxa"/>
        </w:tblCellMar>
      </w:tblPr>
      <w:tblGrid>
        <w:gridCol w:w="1951"/>
        <w:gridCol w:w="146"/>
        <w:gridCol w:w="461"/>
        <w:gridCol w:w="2419"/>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Cardinal Infrastructure Group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Spivey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Jeremy Spivey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tbl>
      <w:tblPr>
        <w:tblW w:w="4604" w:type="dxa"/>
        <w:jc w:val="left"/>
        <w:tblInd w:w="0" w:type="dxa"/>
        <w:tblLayout w:type="fixed"/>
        <w:tblCellMar>
          <w:top w:w="28" w:type="dxa"/>
          <w:left w:w="28" w:type="dxa"/>
          <w:bottom w:w="28" w:type="dxa"/>
          <w:right w:w="28" w:type="dxa"/>
        </w:tblCellMar>
      </w:tblPr>
      <w:tblGrid>
        <w:gridCol w:w="1951"/>
        <w:gridCol w:w="146"/>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Mike Rowe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Mike Rowe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bookmarkStart w:id="20" w:name="cdnl-ex31_1.htm"/>
      <w:bookmarkStart w:id="21" w:name="kscdnl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Jeremy Spivey,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Cardinal Infrastructure Group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89" w:type="dxa"/>
        <w:jc w:val="left"/>
        <w:tblInd w:w="0" w:type="dxa"/>
        <w:tblLayout w:type="fixed"/>
        <w:tblCellMar>
          <w:top w:w="28" w:type="dxa"/>
          <w:left w:w="28" w:type="dxa"/>
          <w:bottom w:w="28" w:type="dxa"/>
          <w:right w:w="28" w:type="dxa"/>
        </w:tblCellMar>
      </w:tblPr>
      <w:tblGrid>
        <w:gridCol w:w="1906"/>
        <w:gridCol w:w="146"/>
        <w:gridCol w:w="406"/>
        <w:gridCol w:w="213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Date:August 11, 2026</w:t>
            </w:r>
          </w:p>
          <w:p>
            <w:pPr>
              <w:pStyle w:val="TableContents"/>
              <w:bidi w:val="0"/>
              <w:jc w:val="left"/>
              <w:rPr/>
            </w:pPr>
            <w:r>
              <w:rPr/>
              <w:t>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Spivey</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Jeremy Spivey</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cdnl-ex31_2.htm"/>
      <w:bookmarkStart w:id="23" w:name="kscdnl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Mike Rowe,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Cardinal Infrastructure Group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94" w:type="dxa"/>
        <w:jc w:val="left"/>
        <w:tblInd w:w="0" w:type="dxa"/>
        <w:tblLayout w:type="fixed"/>
        <w:tblCellMar>
          <w:top w:w="28" w:type="dxa"/>
          <w:left w:w="28" w:type="dxa"/>
          <w:bottom w:w="28" w:type="dxa"/>
          <w:right w:w="28" w:type="dxa"/>
        </w:tblCellMar>
      </w:tblPr>
      <w:tblGrid>
        <w:gridCol w:w="1906"/>
        <w:gridCol w:w="146"/>
        <w:gridCol w:w="406"/>
        <w:gridCol w:w="313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Date:August 11, 2026</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Mike Rowe</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Mike Rowe, Chief Financial Officer</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dnl-ex32_1.htm"/>
      <w:bookmarkStart w:id="25" w:name="kscdnlex32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Cardinal Infrastructure Group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902" w:type="dxa"/>
        <w:jc w:val="left"/>
        <w:tblInd w:w="0" w:type="dxa"/>
        <w:tblLayout w:type="fixed"/>
        <w:tblCellMar>
          <w:top w:w="28" w:type="dxa"/>
          <w:left w:w="28" w:type="dxa"/>
          <w:bottom w:w="28" w:type="dxa"/>
          <w:right w:w="28" w:type="dxa"/>
        </w:tblCellMar>
      </w:tblPr>
      <w:tblGrid>
        <w:gridCol w:w="1906"/>
        <w:gridCol w:w="109"/>
        <w:gridCol w:w="406"/>
        <w:gridCol w:w="3481"/>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Date:August 11, 2026</w:t>
            </w:r>
          </w:p>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Spivey</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Jeremy Spivey, Chief Executive Officer</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dnl-ex32_2.htm"/>
      <w:bookmarkStart w:id="27" w:name="kscdnlex32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Cardinal Infrastructure Group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1906"/>
        <w:gridCol w:w="109"/>
        <w:gridCol w:w="406"/>
        <w:gridCol w:w="3136"/>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Mike Rowe</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Mike Rowe, Chief Financial Officer</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8" w:name="cdnl-ex95.htm"/>
      <w:bookmarkStart w:id="29" w:name="kscdnlex95"/>
      <w:bookmarkEnd w:id="28"/>
      <w:bookmarkEnd w:id="29"/>
      <w:r>
        <w:rPr>
          <w:rFonts w:ascii="Times New Roman" w:hAnsi="Times New Roman"/>
          <w:b/>
          <w:color w:val="000000"/>
          <w:sz w:val="24"/>
        </w:rPr>
        <w:t>Exhibit 95</w:t>
      </w:r>
      <w:r>
        <w:br w:type="page"/>
      </w:r>
    </w:p>
    <w:p>
      <w:pPr>
        <w:pStyle w:val="TextBody"/>
        <w:bidi w:val="0"/>
        <w:jc w:val="left"/>
        <w:rPr>
          <w:rFonts w:ascii="Times New Roman" w:hAnsi="Times New Roman"/>
          <w:b/>
          <w:color w:val="000000"/>
          <w:sz w:val="24"/>
        </w:rPr>
      </w:pPr>
      <w:r>
        <w:rPr>
          <w:rFonts w:ascii="Times New Roman" w:hAnsi="Times New Roman"/>
          <w:b/>
          <w:color w:val="000000"/>
          <w:sz w:val="24"/>
        </w:rPr>
        <w:t>Mine Safety and Health Administration Safety Data</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provides contract drilling and blasting services to mine operators at various mine sites subject to the Federal Mine Safety and Health Act of 1977 (the “Mine Act”), as administered by the Mine Safety and Health Administration (“MSHA”). The Company does not own, operate, or control any mine and holds no mine operator identification number. The Company operates as an independent contractor under two MSHA contractor identification numbers: C9141 and C5080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Pursuant to Section 1503 of the Dodd-Frank Wall Street Reform and Consumer Protection Act and the rules adopted thereunder by the U.S. Securities and Exchange Commission (17 C.F.R. §§ 229.104 and 249.308a), the Company discloses below the mine safety information required for the quarterly period ended June 30, 2026. The information relates solely to MSHA enforcement actions directed at the Company in its capacity as an independent contractor at mine sites during the period. All citations and orders described herein were received while performing services at third-party-owned mines.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MSHA Contractor ID: C5080</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8"/>
        <w:gridCol w:w="1048"/>
        <w:gridCol w:w="586"/>
        <w:gridCol w:w="1148"/>
        <w:gridCol w:w="965"/>
        <w:gridCol w:w="1419"/>
        <w:gridCol w:w="1726"/>
        <w:gridCol w:w="991"/>
        <w:gridCol w:w="684"/>
      </w:tblGrid>
      <w:tr>
        <w:trPr/>
        <w:tc>
          <w:tcPr>
            <w:tcW w:w="163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638" w:type="dxa"/>
            <w:tcBorders>
              <w:top w:val="single" w:sz="8" w:space="0" w:color="AAAAAA"/>
              <w:left w:val="single" w:sz="8" w:space="0" w:color="AAAAAA"/>
              <w:bottom w:val="single" w:sz="8" w:space="0" w:color="AAAAAA"/>
              <w:right w:val="single" w:sz="8" w:space="0" w:color="AAAAAA"/>
            </w:tcBorders>
            <w:shd w:fill="FFFFFF" w:val="clear"/>
            <w:tcMar>
              <w:top w:w="86" w:type="dxa"/>
              <w:left w:w="144"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Mine / Site Name &amp; State</w:t>
            </w:r>
          </w:p>
        </w:tc>
        <w:tc>
          <w:tcPr>
            <w:tcW w:w="1048" w:type="dxa"/>
            <w:tcBorders>
              <w:top w:val="single" w:sz="8" w:space="0" w:color="AAAAAA"/>
              <w:bottom w:val="single" w:sz="8" w:space="0" w:color="AAAAAA"/>
              <w:right w:val="single" w:sz="8" w:space="0" w:color="AAAAAA"/>
            </w:tcBorders>
            <w:shd w:fill="FFFFFF" w:val="clear"/>
            <w:tcMar>
              <w:top w:w="86"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 104 Citations</w:t>
            </w:r>
          </w:p>
        </w:tc>
        <w:tc>
          <w:tcPr>
            <w:tcW w:w="586" w:type="dxa"/>
            <w:tcBorders>
              <w:top w:val="single" w:sz="8" w:space="0" w:color="AAAAAA"/>
              <w:bottom w:val="single" w:sz="8" w:space="0" w:color="AAAAAA"/>
              <w:right w:val="single" w:sz="8" w:space="0" w:color="AAAAAA"/>
            </w:tcBorders>
            <w:shd w:fill="FFFFFF" w:val="clear"/>
            <w:tcMar>
              <w:top w:w="86"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 104(b) Orders</w:t>
            </w:r>
          </w:p>
        </w:tc>
        <w:tc>
          <w:tcPr>
            <w:tcW w:w="1148" w:type="dxa"/>
            <w:tcBorders>
              <w:top w:val="single" w:sz="8" w:space="0" w:color="AAAAAA"/>
              <w:bottom w:val="single" w:sz="8" w:space="0" w:color="AAAAAA"/>
              <w:right w:val="single" w:sz="8" w:space="0" w:color="AAAAAA"/>
            </w:tcBorders>
            <w:shd w:fill="FFFFFF" w:val="clear"/>
            <w:tcMar>
              <w:top w:w="86"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 104(d) Citations &amp; Orders</w:t>
            </w:r>
          </w:p>
        </w:tc>
        <w:tc>
          <w:tcPr>
            <w:tcW w:w="965" w:type="dxa"/>
            <w:tcBorders>
              <w:top w:val="single" w:sz="8" w:space="0" w:color="AAAAAA"/>
              <w:bottom w:val="single" w:sz="8" w:space="0" w:color="AAAAAA"/>
              <w:right w:val="single" w:sz="8" w:space="0" w:color="AAAAAA"/>
            </w:tcBorders>
            <w:shd w:fill="FFFFFF" w:val="clear"/>
            <w:tcMar>
              <w:top w:w="86"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 107(a) Imminent Danger Orders</w:t>
            </w:r>
          </w:p>
        </w:tc>
        <w:tc>
          <w:tcPr>
            <w:tcW w:w="1419" w:type="dxa"/>
            <w:tcBorders>
              <w:top w:val="single" w:sz="8" w:space="0" w:color="AAAAAA"/>
              <w:bottom w:val="single" w:sz="8" w:space="0" w:color="AAAAAA"/>
              <w:right w:val="single" w:sz="8" w:space="0" w:color="AAAAAA"/>
            </w:tcBorders>
            <w:shd w:fill="FFFFFF" w:val="clear"/>
            <w:tcMar>
              <w:top w:w="86"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Proposed Penalty Assessments ($)</w:t>
            </w:r>
          </w:p>
        </w:tc>
        <w:tc>
          <w:tcPr>
            <w:tcW w:w="1726" w:type="dxa"/>
            <w:tcBorders>
              <w:top w:val="single" w:sz="8" w:space="0" w:color="AAAAAA"/>
              <w:bottom w:val="single" w:sz="8" w:space="0" w:color="AAAAAA"/>
              <w:right w:val="single" w:sz="8" w:space="0" w:color="AAAAAA"/>
            </w:tcBorders>
            <w:shd w:fill="FFFFFF" w:val="clear"/>
            <w:tcMar>
              <w:top w:w="86"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Mining-Related Fatalities</w:t>
            </w:r>
          </w:p>
        </w:tc>
        <w:tc>
          <w:tcPr>
            <w:tcW w:w="991" w:type="dxa"/>
            <w:tcBorders>
              <w:top w:val="single" w:sz="8" w:space="0" w:color="AAAAAA"/>
              <w:bottom w:val="single" w:sz="8" w:space="0" w:color="AAAAAA"/>
              <w:right w:val="single" w:sz="8" w:space="0" w:color="AAAAAA"/>
            </w:tcBorders>
            <w:shd w:fill="FFFFFF" w:val="clear"/>
            <w:tcMar>
              <w:top w:w="86"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Pending Legal Actions</w:t>
            </w:r>
          </w:p>
        </w:tc>
        <w:tc>
          <w:tcPr>
            <w:tcW w:w="684" w:type="dxa"/>
            <w:tcBorders>
              <w:top w:val="single" w:sz="8" w:space="0" w:color="AAAAAA"/>
              <w:bottom w:val="single" w:sz="8" w:space="0" w:color="AAAAAA"/>
              <w:right w:val="single" w:sz="8" w:space="0" w:color="AAAAAA"/>
            </w:tcBorders>
            <w:shd w:fill="FFFFFF" w:val="clear"/>
            <w:tcMar>
              <w:top w:w="86"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8-K Filed?</w:t>
            </w:r>
          </w:p>
        </w:tc>
      </w:tr>
      <w:tr>
        <w:trPr/>
        <w:tc>
          <w:tcPr>
            <w:tcW w:w="1638" w:type="dxa"/>
            <w:tcBorders>
              <w:left w:val="single" w:sz="8" w:space="0" w:color="AAAAAA"/>
              <w:bottom w:val="single" w:sz="8" w:space="0" w:color="AAAAAA"/>
              <w:right w:val="single" w:sz="8" w:space="0" w:color="AAAAAA"/>
            </w:tcBorders>
            <w:shd w:fill="FFFFFF" w:val="clear"/>
            <w:tcMar>
              <w:top w:w="0" w:type="dxa"/>
              <w:left w:w="144" w:type="dxa"/>
              <w:bottom w:w="86" w:type="dxa"/>
              <w:right w:w="144"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3100059 / Arrowood Quarry, NC</w:t>
            </w:r>
          </w:p>
        </w:tc>
        <w:tc>
          <w:tcPr>
            <w:tcW w:w="1048"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586"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1148"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965"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1419"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1726"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991"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684"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w:t>
            </w:r>
          </w:p>
        </w:tc>
      </w:tr>
      <w:tr>
        <w:trPr/>
        <w:tc>
          <w:tcPr>
            <w:tcW w:w="1638" w:type="dxa"/>
            <w:tcBorders>
              <w:left w:val="single" w:sz="8" w:space="0" w:color="AAAAAA"/>
              <w:bottom w:val="single" w:sz="8" w:space="0" w:color="AAAAAA"/>
              <w:right w:val="single" w:sz="8" w:space="0" w:color="AAAAAA"/>
            </w:tcBorders>
            <w:shd w:fill="FFFFFF" w:val="clear"/>
            <w:tcMar>
              <w:top w:w="0" w:type="dxa"/>
              <w:left w:w="144" w:type="dxa"/>
              <w:bottom w:w="86" w:type="dxa"/>
              <w:right w:w="144"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3800026 / Rock Hill Quarry, SC</w:t>
            </w:r>
          </w:p>
        </w:tc>
        <w:tc>
          <w:tcPr>
            <w:tcW w:w="1048"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586"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1148"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965"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1419"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1726"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991"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684" w:type="dxa"/>
            <w:tcBorders>
              <w:bottom w:val="single" w:sz="8" w:space="0" w:color="AAAAAA"/>
              <w:right w:val="single" w:sz="8" w:space="0" w:color="AAAAAA"/>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w:t>
            </w:r>
          </w:p>
        </w:tc>
      </w:tr>
      <w:tr>
        <w:trPr/>
        <w:tc>
          <w:tcPr>
            <w:tcW w:w="1638" w:type="dxa"/>
            <w:tcBorders>
              <w:left w:val="single" w:sz="8" w:space="0" w:color="000000"/>
              <w:bottom w:val="single" w:sz="8" w:space="0" w:color="000000"/>
              <w:right w:val="single" w:sz="8" w:space="0" w:color="000000"/>
            </w:tcBorders>
            <w:shd w:fill="FFFFFF" w:val="clear"/>
            <w:tcMar>
              <w:top w:w="0" w:type="dxa"/>
              <w:left w:w="144"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SUBTOTAL — Contractor ID C5080</w:t>
            </w:r>
          </w:p>
        </w:tc>
        <w:tc>
          <w:tcPr>
            <w:tcW w:w="1048" w:type="dxa"/>
            <w:tcBorders>
              <w:bottom w:val="single" w:sz="8" w:space="0" w:color="000000"/>
              <w:right w:val="single" w:sz="8" w:space="0" w:color="000000"/>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586" w:type="dxa"/>
            <w:tcBorders>
              <w:bottom w:val="single" w:sz="8" w:space="0" w:color="000000"/>
              <w:right w:val="single" w:sz="8" w:space="0" w:color="000000"/>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1148" w:type="dxa"/>
            <w:tcBorders>
              <w:bottom w:val="single" w:sz="8" w:space="0" w:color="000000"/>
              <w:right w:val="single" w:sz="8" w:space="0" w:color="000000"/>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965" w:type="dxa"/>
            <w:tcBorders>
              <w:bottom w:val="single" w:sz="8" w:space="0" w:color="000000"/>
              <w:right w:val="single" w:sz="8" w:space="0" w:color="000000"/>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1419" w:type="dxa"/>
            <w:tcBorders>
              <w:bottom w:val="single" w:sz="8" w:space="0" w:color="000000"/>
              <w:right w:val="single" w:sz="8" w:space="0" w:color="000000"/>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1726" w:type="dxa"/>
            <w:tcBorders>
              <w:bottom w:val="single" w:sz="8" w:space="0" w:color="000000"/>
              <w:right w:val="single" w:sz="8" w:space="0" w:color="000000"/>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991" w:type="dxa"/>
            <w:tcBorders>
              <w:bottom w:val="single" w:sz="8" w:space="0" w:color="000000"/>
              <w:right w:val="single" w:sz="8" w:space="0" w:color="000000"/>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w:t>
            </w:r>
          </w:p>
        </w:tc>
        <w:tc>
          <w:tcPr>
            <w:tcW w:w="684" w:type="dxa"/>
            <w:tcBorders>
              <w:bottom w:val="single" w:sz="8" w:space="0" w:color="000000"/>
              <w:right w:val="single" w:sz="8" w:space="0" w:color="000000"/>
            </w:tcBorders>
            <w:shd w:fill="FFFFFF" w:val="clear"/>
            <w:tcMar>
              <w:top w:w="0" w:type="dxa"/>
              <w:left w:w="0" w:type="dxa"/>
              <w:bottom w:w="86" w:type="dxa"/>
              <w:right w:w="144"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MSHA Contractor ID: C9141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During the quarter ended June 30, 2026 the Company performed no drilling or blasting services under MSHA Contractor ID C9141 at any location subject to MSHA jurisdiction under the Federal Mine Safety and Health Act of 1977. Accordingly, no mine safety data is required to be disclosed pursuant to Section 1503 of the Dodd-Frank Act for this reporting period.</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2079999/000121390025119853/ea026876301ex4-1_cardinal.htm" TargetMode="External"/><Relationship Id="rId4" Type="http://schemas.openxmlformats.org/officeDocument/2006/relationships/hyperlink" Target="https://www.sec.gov/Archives/edgar/data/2079999/000121390025119853/ea026876301ex4-2_cardinal.htm" TargetMode="External"/><Relationship Id="rId5" Type="http://schemas.openxmlformats.org/officeDocument/2006/relationships/hyperlink" Target="https://www.sec.gov/Archives/edgar/data/2079999/000119312526221771/cdnl-ex18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33780</Words>
  <Characters>191689</Characters>
  <CharactersWithSpaces>226548</CharactersWithSpaces>
  <Paragraphs>6444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