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Rowe Michael Bruce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CARDINAL INFRASTRUCTURE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E. SIX FORKS ROAD,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Cardinal Infrastructure Group Inc.</w:t>
              </w:r>
            </w:hyperlink>
            <w:r>
              <w:rPr/>
              <w:t xml:space="preserve"> [ </w:t>
            </w:r>
            <w:r>
              <w:rPr>
                <w:rFonts w:ascii="Times;serif" w:hAnsi="Times;serif"/>
                <w:color w:val="0000FF"/>
                <w:sz w:val="24"/>
                <w:shd w:fill="FFFFFF" w:val="clear"/>
              </w:rPr>
              <w:t>CDNL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36.53</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purchased in multiple transactions at prices ranging from $36.27 to $36.55, inclusive. The reporting person hereby undertakes to provide to Cardinal Infrastructure Group Inc., any security holder of Cardinal Infrastructure Group Inc., or the staff of the Securities and Exchange Commission, upon request, full information regarding the number of shares purchased at each separate price within the ranges set forth in footnote (1) of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Tiffany Gidley,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1833" TargetMode="External"/><Relationship Id="rId5" Type="http://schemas.openxmlformats.org/officeDocument/2006/relationships/hyperlink" Target="http://www.sec.gov/cgi-bin/browse-edgar?action=getcompany&amp;CIK=000207999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3578</Characters>
  <CharactersWithSpaces>4166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