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Cardinal Infrastructure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Conversant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1,179,659.00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1,179,659.00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1,179,659.00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Conversant Opportunity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1,179,659.00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1,179,659.00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1,179,659.00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Conversant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1,179,659.00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1,179,659.00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1,179,659.00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Simanovsky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1,179,659.00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1,179,659.00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1,179,659.00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Cardinal Infrastructure Group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E. Six Forks Road, #300, Raleigh, North Carolina, 27609</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Conversant Opportunity Master Fund LP, a Cayman Islands exempted limited partnership ("Opportunity Master"); (ii) Conversant GP Holdings LLC, a Delaware limited liability company ("Conversant GP"), which serves as the general partner of Opportunity Master; (iii) Conversant Capital LLC, a Delaware limited liability company ("Conversant Capital"), which serves as the investment manager to Opportunity Master; and (iv) Michael Simanovsky, an individual, who serves as sole managing member of Conversant GP and Conversant Capital. 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 The Reporting Persons are filing this statement jointly with respect to the same securities as contemplated by Rule 13d-1(k)(1), not as members of a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25 Deforest Ave., Summit, NJ 07901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Opportunity Master is organized under the laws of the Cayman Islands. Conversant GP and Conversant Capital are organized under the laws of the State of Delaware. Mr. Simanovsky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attached cover pages. The percentages used herein are calculated based upon 21,435,406 shares of Common Stock outstanding, the sum of 20,428,610 shares of Common Stock outstanding as of August 3, 2026, as reported in the Form 10-Q filed by the Company on August 12, 2026, and 1,006,796 shares of Common Stock issued on October 1, 2026, as reported in the Form 8-K filed by the Company on the same date.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information in Item 2 is hereby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Conversant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 Dumaine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Paul Dumaine, General Counsel and 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Conversant Opportunity Master Fund LP</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 Dumaine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Paul Dumaine, General Counsel and 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Conversant GP Holdings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 Dumaine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Paul Dumaine, General Counsel and 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Michael Simanovsky</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Paul Dumaine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Paul Dumaine, Attorney-in-fact for Michael J. Simanovsky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center"/>
              <w:rPr>
                <w:b/>
              </w:rPr>
            </w:pPr>
            <w:r>
              <w:rPr>
                <w:b/>
              </w:rPr>
              <w:t xml:space="preserve">Exhibit Information </w:t>
            </w:r>
          </w:p>
        </w:tc>
      </w:tr>
      <w:tr>
        <w:trPr/>
        <w:tc>
          <w:tcPr>
            <w:tcW w:w="2266" w:type="dxa"/>
            <w:tcBorders/>
            <w:vAlign w:val="center"/>
          </w:tcPr>
          <w:p>
            <w:pPr>
              <w:pStyle w:val="TableContents"/>
              <w:bidi w:val="0"/>
              <w:spacing w:before="0" w:after="283"/>
              <w:jc w:val="left"/>
              <w:rPr/>
            </w:pPr>
            <w:r>
              <w:rPr/>
              <w:t>Exhibit 99.1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1481</Words>
  <Characters>7782</Characters>
  <CharactersWithSpaces>9192</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